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方正仿宋简体" w:cs="Times New Roman"/>
          <w:sz w:val="28"/>
          <w:szCs w:val="28"/>
        </w:rPr>
      </w:pPr>
    </w:p>
    <w:p>
      <w:pPr>
        <w:jc w:val="center"/>
        <w:rPr>
          <w:rFonts w:ascii="Times New Roman" w:hAnsi="Times New Roman" w:eastAsia="方正仿宋简体" w:cs="Times New Roman"/>
          <w:sz w:val="28"/>
          <w:szCs w:val="28"/>
        </w:rPr>
      </w:pPr>
    </w:p>
    <w:p>
      <w:pPr>
        <w:jc w:val="center"/>
        <w:rPr>
          <w:rFonts w:ascii="方正小标宋简体" w:hAnsi="Times New Roman" w:eastAsia="方正小标宋简体" w:cs="Times New Roman"/>
          <w:sz w:val="48"/>
          <w:szCs w:val="48"/>
        </w:rPr>
      </w:pPr>
      <w:r>
        <w:rPr>
          <w:rFonts w:hint="eastAsia" w:ascii="方正小标宋简体" w:hAnsi="Times New Roman" w:eastAsia="方正小标宋简体" w:cs="Times New Roman"/>
          <w:sz w:val="48"/>
          <w:szCs w:val="48"/>
        </w:rPr>
        <w:t>2018年西青旅游宣传营销项目</w:t>
      </w:r>
    </w:p>
    <w:p>
      <w:pPr>
        <w:jc w:val="center"/>
        <w:rPr>
          <w:rFonts w:ascii="方正小标宋简体" w:hAnsi="Times New Roman" w:eastAsia="方正小标宋简体" w:cs="Times New Roman"/>
          <w:sz w:val="48"/>
          <w:szCs w:val="48"/>
        </w:rPr>
      </w:pPr>
    </w:p>
    <w:p>
      <w:pPr>
        <w:jc w:val="center"/>
        <w:rPr>
          <w:rFonts w:ascii="方正小标宋简体" w:hAnsi="Times New Roman" w:eastAsia="方正小标宋简体" w:cs="Times New Roman"/>
          <w:sz w:val="48"/>
          <w:szCs w:val="48"/>
        </w:rPr>
      </w:pPr>
      <w:r>
        <w:rPr>
          <w:rFonts w:hint="eastAsia" w:ascii="方正小标宋简体" w:hAnsi="Times New Roman" w:eastAsia="方正小标宋简体" w:cs="Times New Roman"/>
          <w:sz w:val="48"/>
          <w:szCs w:val="48"/>
        </w:rPr>
        <w:t>绩效评价报告</w:t>
      </w:r>
    </w:p>
    <w:p>
      <w:pPr>
        <w:jc w:val="center"/>
        <w:rPr>
          <w:rFonts w:ascii="方正小标宋简体" w:hAnsi="Times New Roman" w:eastAsia="方正小标宋简体" w:cs="Times New Roman"/>
          <w:b/>
          <w:sz w:val="48"/>
          <w:szCs w:val="48"/>
        </w:rPr>
      </w:pPr>
    </w:p>
    <w:p>
      <w:pPr>
        <w:jc w:val="center"/>
        <w:rPr>
          <w:rFonts w:ascii="Times New Roman" w:hAnsi="Times New Roman" w:eastAsia="方正仿宋简体" w:cs="Times New Roman"/>
          <w:b/>
          <w:sz w:val="36"/>
          <w:szCs w:val="36"/>
        </w:rPr>
      </w:pPr>
    </w:p>
    <w:p>
      <w:pPr>
        <w:jc w:val="center"/>
        <w:rPr>
          <w:rFonts w:ascii="Times New Roman" w:hAnsi="Times New Roman" w:eastAsia="方正仿宋简体" w:cs="Times New Roman"/>
          <w:sz w:val="28"/>
          <w:szCs w:val="28"/>
        </w:rPr>
      </w:pPr>
    </w:p>
    <w:p>
      <w:pPr>
        <w:jc w:val="center"/>
        <w:rPr>
          <w:rFonts w:ascii="Times New Roman" w:hAnsi="Times New Roman" w:eastAsia="方正仿宋简体" w:cs="Times New Roman"/>
          <w:sz w:val="28"/>
          <w:szCs w:val="28"/>
        </w:rPr>
      </w:pPr>
    </w:p>
    <w:p>
      <w:pPr>
        <w:jc w:val="center"/>
        <w:rPr>
          <w:rFonts w:ascii="Times New Roman" w:hAnsi="Times New Roman" w:eastAsia="方正仿宋简体" w:cs="Times New Roman"/>
          <w:sz w:val="28"/>
          <w:szCs w:val="28"/>
        </w:rPr>
      </w:pPr>
    </w:p>
    <w:p>
      <w:pPr>
        <w:jc w:val="center"/>
        <w:rPr>
          <w:rFonts w:ascii="方正仿宋简体" w:hAnsi="Times New Roman" w:eastAsia="方正仿宋简体" w:cs="Times New Roman"/>
          <w:sz w:val="32"/>
          <w:szCs w:val="32"/>
        </w:rPr>
      </w:pPr>
      <w:r>
        <w:rPr>
          <w:rFonts w:hint="eastAsia" w:ascii="方正仿宋简体" w:hAnsi="Times New Roman" w:eastAsia="方正仿宋简体" w:cs="Times New Roman"/>
          <w:sz w:val="32"/>
          <w:szCs w:val="32"/>
        </w:rPr>
        <w:t>中勤万信会计师事务所（特殊普通合伙）天津分所</w:t>
      </w:r>
    </w:p>
    <w:p>
      <w:pPr>
        <w:jc w:val="center"/>
        <w:rPr>
          <w:rFonts w:ascii="Times New Roman" w:hAnsi="Times New Roman" w:eastAsia="方正仿宋简体" w:cs="Times New Roman"/>
          <w:sz w:val="32"/>
          <w:szCs w:val="32"/>
        </w:rPr>
      </w:pPr>
    </w:p>
    <w:p>
      <w:pPr>
        <w:jc w:val="center"/>
        <w:rPr>
          <w:rFonts w:ascii="Times New Roman" w:hAnsi="Times New Roman" w:eastAsia="方正仿宋简体" w:cs="Times New Roman"/>
          <w:sz w:val="32"/>
          <w:szCs w:val="32"/>
        </w:rPr>
      </w:pPr>
      <w:r>
        <w:rPr>
          <w:rFonts w:ascii="Times New Roman" w:hAnsi="Times New Roman" w:eastAsia="方正仿宋简体" w:cs="Times New Roman"/>
          <w:sz w:val="32"/>
          <w:szCs w:val="32"/>
        </w:rPr>
        <w:t>2019年10月22日</w:t>
      </w:r>
    </w:p>
    <w:p>
      <w:pPr>
        <w:jc w:val="center"/>
        <w:rPr>
          <w:rFonts w:ascii="Times New Roman" w:hAnsi="Times New Roman" w:eastAsia="方正仿宋简体" w:cs="Times New Roman"/>
          <w:sz w:val="28"/>
          <w:szCs w:val="28"/>
        </w:rPr>
      </w:pPr>
    </w:p>
    <w:p>
      <w:pPr>
        <w:jc w:val="center"/>
        <w:rPr>
          <w:rFonts w:ascii="Times New Roman" w:hAnsi="Times New Roman" w:eastAsia="方正仿宋简体" w:cs="Times New Roman"/>
          <w:sz w:val="28"/>
          <w:szCs w:val="28"/>
        </w:rPr>
      </w:pPr>
    </w:p>
    <w:p>
      <w:pPr>
        <w:jc w:val="center"/>
        <w:rPr>
          <w:rFonts w:ascii="Times New Roman" w:hAnsi="Times New Roman" w:eastAsia="方正仿宋简体" w:cs="Times New Roman"/>
          <w:sz w:val="28"/>
          <w:szCs w:val="28"/>
          <w:highlight w:val="yellow"/>
        </w:rPr>
      </w:pPr>
    </w:p>
    <w:p>
      <w:pPr>
        <w:jc w:val="center"/>
        <w:rPr>
          <w:rFonts w:ascii="Times New Roman" w:hAnsi="Times New Roman" w:eastAsia="方正仿宋简体" w:cs="Times New Roman"/>
          <w:sz w:val="36"/>
          <w:szCs w:val="36"/>
        </w:rPr>
      </w:pPr>
    </w:p>
    <w:p>
      <w:pPr>
        <w:jc w:val="center"/>
        <w:rPr>
          <w:rFonts w:ascii="Times New Roman" w:hAnsi="Times New Roman" w:eastAsia="方正仿宋简体" w:cs="Times New Roman"/>
          <w:sz w:val="36"/>
          <w:szCs w:val="36"/>
        </w:rPr>
      </w:pPr>
    </w:p>
    <w:p>
      <w:pPr>
        <w:jc w:val="center"/>
        <w:rPr>
          <w:rFonts w:ascii="Times New Roman" w:hAnsi="Times New Roman" w:eastAsia="方正仿宋简体" w:cs="Times New Roman"/>
          <w:sz w:val="36"/>
          <w:szCs w:val="36"/>
        </w:rPr>
      </w:pPr>
    </w:p>
    <w:p>
      <w:pPr>
        <w:jc w:val="center"/>
        <w:rPr>
          <w:rFonts w:ascii="Times New Roman" w:hAnsi="Times New Roman" w:eastAsia="方正仿宋简体" w:cs="Times New Roman"/>
          <w:sz w:val="36"/>
          <w:szCs w:val="36"/>
        </w:rPr>
      </w:pPr>
    </w:p>
    <w:p>
      <w:pPr>
        <w:jc w:val="center"/>
        <w:rPr>
          <w:rFonts w:ascii="Times New Roman" w:hAnsi="Times New Roman" w:eastAsia="方正小标宋简体" w:cs="Times New Roman"/>
          <w:sz w:val="44"/>
          <w:szCs w:val="44"/>
        </w:rPr>
      </w:pPr>
    </w:p>
    <w:p>
      <w:pPr>
        <w:jc w:val="center"/>
        <w:rPr>
          <w:rFonts w:ascii="Times New Roman" w:hAnsi="Times New Roman" w:eastAsia="方正小标宋简体" w:cs="Times New Roman"/>
          <w:b/>
          <w:sz w:val="44"/>
          <w:szCs w:val="44"/>
        </w:rPr>
      </w:pPr>
      <w:r>
        <w:rPr>
          <w:rFonts w:ascii="Times New Roman" w:hAnsi="Times New Roman" w:eastAsia="方正小标宋简体" w:cs="Times New Roman"/>
          <w:b/>
          <w:sz w:val="44"/>
          <w:szCs w:val="44"/>
        </w:rPr>
        <w:t>2018年西青旅游宣传营销项目</w:t>
      </w:r>
    </w:p>
    <w:p>
      <w:pPr>
        <w:jc w:val="center"/>
        <w:rPr>
          <w:rFonts w:ascii="Times New Roman" w:hAnsi="Times New Roman" w:eastAsia="方正小标宋简体" w:cs="Times New Roman"/>
          <w:b/>
          <w:sz w:val="44"/>
          <w:szCs w:val="44"/>
        </w:rPr>
      </w:pPr>
      <w:r>
        <w:rPr>
          <w:rFonts w:ascii="Times New Roman" w:hAnsi="Times New Roman" w:eastAsia="方正小标宋简体" w:cs="Times New Roman"/>
          <w:b/>
          <w:sz w:val="44"/>
          <w:szCs w:val="44"/>
        </w:rPr>
        <w:t>绩效评价报告</w:t>
      </w:r>
    </w:p>
    <w:p>
      <w:pPr>
        <w:jc w:val="center"/>
        <w:rPr>
          <w:rFonts w:ascii="Times New Roman" w:hAnsi="Times New Roman" w:eastAsia="方正仿宋简体" w:cs="Times New Roman"/>
          <w:sz w:val="32"/>
          <w:szCs w:val="32"/>
        </w:rPr>
      </w:pPr>
    </w:p>
    <w:p>
      <w:pPr>
        <w:rPr>
          <w:rFonts w:ascii="Times New Roman" w:hAnsi="Times New Roman" w:eastAsia="方正仿宋简体" w:cs="Times New Roman"/>
          <w:sz w:val="32"/>
          <w:szCs w:val="32"/>
        </w:rPr>
      </w:pPr>
      <w:r>
        <w:rPr>
          <w:rFonts w:ascii="Times New Roman" w:hAnsi="Times New Roman" w:eastAsia="方正仿宋简体" w:cs="Times New Roman"/>
          <w:sz w:val="32"/>
          <w:szCs w:val="32"/>
        </w:rPr>
        <w:t xml:space="preserve">    根据《中共中央国务院关于全面实施预算绩效管理的意见》文件精神，按照《天津市区县财政预算绩效管理工作考核办法（试行）》和《天津市财政支出绩效评价管理办法》文件要求</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我们对天津市西青区2018年旅游宣传营销项目进行了绩效评价。现将有关情况报告如下：</w:t>
      </w:r>
    </w:p>
    <w:p>
      <w:pPr>
        <w:pStyle w:val="17"/>
        <w:spacing w:line="480" w:lineRule="auto"/>
        <w:ind w:firstLine="0" w:firstLineChars="0"/>
        <w:rPr>
          <w:rFonts w:ascii="Times New Roman" w:hAnsi="Times New Roman" w:eastAsia="黑体" w:cs="Times New Roman"/>
          <w:bCs/>
          <w:sz w:val="32"/>
          <w:szCs w:val="32"/>
        </w:rPr>
      </w:pPr>
      <w:r>
        <w:rPr>
          <w:rFonts w:ascii="Times New Roman" w:hAnsi="Times New Roman" w:eastAsia="方正仿宋简体" w:cs="Times New Roman"/>
          <w:b/>
          <w:bCs/>
          <w:sz w:val="32"/>
          <w:szCs w:val="32"/>
        </w:rPr>
        <w:t xml:space="preserve">   </w:t>
      </w:r>
      <w:r>
        <w:rPr>
          <w:rFonts w:ascii="Times New Roman" w:hAnsi="Times New Roman" w:eastAsia="方正仿宋简体" w:cs="Times New Roman"/>
          <w:bCs/>
          <w:sz w:val="32"/>
          <w:szCs w:val="32"/>
        </w:rPr>
        <w:t xml:space="preserve"> </w:t>
      </w:r>
      <w:r>
        <w:rPr>
          <w:rFonts w:ascii="Times New Roman" w:hAnsi="Times New Roman" w:eastAsia="黑体" w:cs="Times New Roman"/>
          <w:bCs/>
          <w:sz w:val="32"/>
          <w:szCs w:val="32"/>
        </w:rPr>
        <w:t>一、项目基本情况</w:t>
      </w:r>
    </w:p>
    <w:p>
      <w:pPr>
        <w:pStyle w:val="17"/>
        <w:spacing w:line="480" w:lineRule="auto"/>
        <w:ind w:firstLine="0" w:firstLineChars="0"/>
        <w:rPr>
          <w:rFonts w:ascii="Times New Roman" w:hAnsi="Times New Roman" w:eastAsia="楷体_GB2312" w:cs="Times New Roman"/>
          <w:bCs/>
          <w:sz w:val="32"/>
          <w:szCs w:val="32"/>
        </w:rPr>
      </w:pPr>
      <w:r>
        <w:rPr>
          <w:rFonts w:ascii="Times New Roman" w:hAnsi="Times New Roman" w:eastAsia="方正仿宋简体" w:cs="Times New Roman"/>
          <w:bCs/>
          <w:sz w:val="32"/>
          <w:szCs w:val="32"/>
        </w:rPr>
        <w:t xml:space="preserve">   </w:t>
      </w:r>
      <w:r>
        <w:rPr>
          <w:rFonts w:ascii="Times New Roman" w:hAnsi="Times New Roman" w:eastAsia="楷体_GB2312" w:cs="Times New Roman"/>
          <w:bCs/>
          <w:sz w:val="32"/>
          <w:szCs w:val="32"/>
        </w:rPr>
        <w:t xml:space="preserve"> （一）项目背景</w:t>
      </w:r>
    </w:p>
    <w:p>
      <w:pPr>
        <w:snapToGrid w:val="0"/>
        <w:spacing w:line="5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旅游宣传营销项目是转变旅游发展方式，加快旅游业供给侧结构性改革，奋力推进我市旅游业优质发展的一项重要项目。按照《国务院办公厅关于促进全域旅游发展的指导意见》（国办发〔2018〕15号）文件精神，我市积极响应、认真落实，为了充分发挥我市旅游业作为转型升级的动力产业、对外开放的形象产业、综合服务的先导产业、幸福天津的民生产业作用，大力实施旅游产业化战略，做大做强我市旅游业，特发布了《天津市关于促进全域旅游发展的实施意见（2018-2020年）》。</w:t>
      </w:r>
    </w:p>
    <w:p>
      <w:pPr>
        <w:snapToGrid w:val="0"/>
        <w:spacing w:line="5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天津市关于促进全域旅游发展的实施意见（2018-2020年）》的指导思想是全面贯彻党的十九大和市第十一次党代会精神，以习近平新时代中国特色社会主义思想为指导，扎实推进“五位一体”总体布局和“四个全面”战略布局在天津的实施，坚持以人民为中心的发展思路，坚持创新、协调、绿色、开放、共享的五大发展理念，抢抓五大发展机遇，按照京津冀协同发展、“一带一路”国家布局和天津“一基地三区”的城市定位，紧紧围绕“五个现代化天津”建设目标，转变旅游发展方式，加快旅游业供给侧结构性改革，奋力推进我市旅游业向优质旅游时代迈进。</w:t>
      </w:r>
    </w:p>
    <w:p>
      <w:pPr>
        <w:snapToGrid w:val="0"/>
        <w:spacing w:line="5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天津市关于促进全域旅游发展的实施意见（2018-2020年）》的发展目标是按照旅游发展全域化、旅游供给品质化、旅游效益最大化、旅游治理规范化、旅游营销系统化的原则，推动我市旅游业全面提档升级。通过旅游业对其他产业的引擎拉动作用，全力推动旅游人次、旅游综合收入的增速快于全市经济指标的增速。到2020年底实现接待中外游客2.54亿人次，年均增长8%；旅游总收入4,500亿元，年均增长10%，努力建设宜居宜游、开放包容的现代化休闲旅游城市、国际旅游目的地和集散地。</w:t>
      </w:r>
    </w:p>
    <w:p>
      <w:pPr>
        <w:snapToGrid w:val="0"/>
        <w:spacing w:line="5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2018年天津市西青区文化和旅游局（以下简称“西青区文旅局”）根据《天津市关于促进全域旅游发展的实施意见（2018-2020年）》制定了2018年度工作要点，以习近平新时代中国特色社会主义思想为指导，按照党的十九大战略部署和市委、区委提出的奋斗目标，坚持以新发展理念为引领，服务重点旅游项目，坚持依法治旅，强化旅游行业管理，牢牢把握京津冀协同发展的重大战略机遇，塑造拳头旅游产品，打造京津冀知名旅游目的地，加快推进西青城市化进程，为全面建成更高水平小康社会贡献力量。重点做好以下工作：</w:t>
      </w:r>
    </w:p>
    <w:p>
      <w:pPr>
        <w:snapToGrid w:val="0"/>
        <w:spacing w:line="5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1、以规划为引领，加快推动重点项目建设</w:t>
      </w:r>
    </w:p>
    <w:p>
      <w:pPr>
        <w:snapToGrid w:val="0"/>
        <w:spacing w:line="5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（1）编制完成中长期旅游发展规划。按照天津市对西青区的发展定位，围绕“两城三带三区”的规划布局，以新发展理念为引领，用全域旅游思维，编制完成《西青区旅游产业中长期发展规划》。</w:t>
      </w:r>
    </w:p>
    <w:p>
      <w:pPr>
        <w:snapToGrid w:val="0"/>
        <w:spacing w:line="5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（2）加快推进杨柳青古镇5A级景区创建工作。有序推进杨柳青古镇创建国家5A级景区，督导落实5A创建全程咨询服务，完成游客服务中心和停车场建设。</w:t>
      </w:r>
    </w:p>
    <w:p>
      <w:pPr>
        <w:snapToGrid w:val="0"/>
        <w:spacing w:line="5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（3）落实民心工程和对口帮扶工作。继续推进杨柳青镇提升古镇整体风貌、夜景景观、环境建设以及古镇周边建筑立面改造等相关工作。</w:t>
      </w:r>
    </w:p>
    <w:p>
      <w:pPr>
        <w:snapToGrid w:val="0"/>
        <w:spacing w:line="5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4）主动服务旅游重点项目建设。积极推动新项目建设，对南运河（京杭大运河）商旅文化带项目、中北镇百年花乡项目、新希望（天津）企业家小镇项目、大清河万亩湿地生态旅游区项目、精武镇常青藤国际艺术小镇项目建设主动服务、解读标准、宣传政策，精心指导。</w:t>
      </w:r>
    </w:p>
    <w:p>
      <w:pPr>
        <w:snapToGrid w:val="0"/>
        <w:spacing w:line="5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2、以市场为导向，加大宣传营销力度</w:t>
      </w:r>
    </w:p>
    <w:p>
      <w:pPr>
        <w:snapToGrid w:val="0"/>
        <w:spacing w:line="5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（1）扩大宣传，提高西青旅游知名度。加强区域协同，深度挖掘“杨柳青古镇、霍元甲老家”品牌内涵，以京津冀重点城市为目标市场加强宣传推广力度。</w:t>
      </w:r>
    </w:p>
    <w:p>
      <w:pPr>
        <w:snapToGrid w:val="0"/>
        <w:spacing w:line="5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（2）开发旅游商品，拓宽旅游增收渠道。开展好西青旅游商品网络评选活动，做好中国旅游商品大赛等组织参赛工作，重点推动社会山“津礼物”旅游商品研发和推广，丰富内容，形成系列，打造品牌。</w:t>
      </w:r>
    </w:p>
    <w:p>
      <w:pPr>
        <w:snapToGrid w:val="0"/>
        <w:spacing w:line="5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3、以质量为根本，提高行业管理水平</w:t>
      </w:r>
    </w:p>
    <w:p>
      <w:pPr>
        <w:snapToGrid w:val="0"/>
        <w:spacing w:line="5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（1）打造文明、有序、安全的旅游环境。巩固“创文”活动成果，引导景区开展旅游志愿服务等活动，加强对旅游志愿服务团队的监管。</w:t>
      </w:r>
    </w:p>
    <w:p>
      <w:pPr>
        <w:snapToGrid w:val="0"/>
        <w:spacing w:line="5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（2）狠抓人才队伍建设。继续办好旅游管理人员和从业培训班，创新培训方式，丰富培训内容，增强培训工作的针对性、实操性。</w:t>
      </w:r>
    </w:p>
    <w:p>
      <w:pPr>
        <w:snapToGrid w:val="0"/>
        <w:spacing w:line="5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3）推进智慧旅游建设。完成西青智慧旅游手绘电子地图，实现游客扫码即可自助获取景区景点导游导览信息的服务。完成重点景区视频监控平台联网和实现无线网络全覆盖，运维好西青旅游网、西青旅游微信公众号两个载体平台，提升网络接入、智慧导览、智慧监控、智慧营销、信息咨询、旅游统计等支持服务水平，不断增加游客满意度和</w:t>
      </w:r>
      <w:r>
        <w:rPr>
          <w:rFonts w:hint="eastAsia" w:ascii="Times New Roman" w:hAnsi="Times New Roman" w:eastAsia="方正仿宋简体" w:cs="Times New Roman"/>
          <w:sz w:val="32"/>
          <w:szCs w:val="32"/>
        </w:rPr>
        <w:t>提高</w:t>
      </w:r>
      <w:r>
        <w:rPr>
          <w:rFonts w:ascii="Times New Roman" w:hAnsi="Times New Roman" w:eastAsia="方正仿宋简体" w:cs="Times New Roman"/>
          <w:sz w:val="32"/>
          <w:szCs w:val="32"/>
        </w:rPr>
        <w:t>旅游便利化水平。</w:t>
      </w:r>
    </w:p>
    <w:p>
      <w:pPr>
        <w:snapToGrid w:val="0"/>
        <w:spacing w:line="5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4）推进依法治旅建设。落实区委依法治区工作要求，明确分工和责任。健全市场监管制度，建立健全《旅游局普法责任清单》，做好《西青区旅游系统诚信建设“红黑名单”公示发布管理办法》的制定和实施。</w:t>
      </w:r>
    </w:p>
    <w:p>
      <w:pPr>
        <w:numPr>
          <w:ilvl w:val="0"/>
          <w:numId w:val="1"/>
        </w:numPr>
        <w:ind w:left="567"/>
        <w:rPr>
          <w:rFonts w:ascii="Times New Roman" w:hAnsi="Times New Roman" w:eastAsia="楷体_GB2312" w:cs="Times New Roman"/>
          <w:bCs/>
          <w:sz w:val="32"/>
          <w:szCs w:val="32"/>
        </w:rPr>
      </w:pPr>
      <w:r>
        <w:rPr>
          <w:rFonts w:ascii="Times New Roman" w:hAnsi="Times New Roman" w:eastAsia="楷体_GB2312" w:cs="Times New Roman"/>
          <w:bCs/>
          <w:sz w:val="32"/>
          <w:szCs w:val="32"/>
        </w:rPr>
        <w:t>项目的基本情况</w:t>
      </w:r>
    </w:p>
    <w:p>
      <w:pPr>
        <w:ind w:firstLine="576"/>
        <w:rPr>
          <w:rFonts w:ascii="Times New Roman" w:hAnsi="Times New Roman" w:eastAsia="方正仿宋简体" w:cs="Times New Roman"/>
          <w:sz w:val="32"/>
          <w:szCs w:val="32"/>
        </w:rPr>
      </w:pPr>
      <w:r>
        <w:rPr>
          <w:rFonts w:ascii="Times New Roman" w:hAnsi="Times New Roman" w:eastAsia="方正仿宋简体" w:cs="Times New Roman"/>
          <w:sz w:val="32"/>
          <w:szCs w:val="32"/>
        </w:rPr>
        <w:t>西青旅游产业是西青区国民经济发展的重要组成部分,也是西青区重要的经济增长点，在拉动消费、促进就业、改善生态环境等方面都发挥了极其重要的作用。目前西青旅游发展迅速，旅游宣传营销对于整个西青旅游产业发展起着至关重要的作用，通过系统营销工作的开展</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更能提升旅游产业的发展水平。</w:t>
      </w:r>
    </w:p>
    <w:p>
      <w:pPr>
        <w:ind w:firstLine="576"/>
        <w:rPr>
          <w:rFonts w:ascii="Times New Roman" w:hAnsi="Times New Roman" w:eastAsia="方正仿宋简体" w:cs="Times New Roman"/>
          <w:sz w:val="32"/>
          <w:szCs w:val="32"/>
        </w:rPr>
      </w:pPr>
      <w:r>
        <w:rPr>
          <w:rFonts w:ascii="Times New Roman" w:hAnsi="Times New Roman" w:eastAsia="方正仿宋简体" w:cs="Times New Roman"/>
          <w:sz w:val="32"/>
          <w:szCs w:val="32"/>
        </w:rPr>
        <w:t>西青区文旅局按照西青区旅游业发展的总体部署及西青区旅游发展中长期规划，结合2017年旅游宣传营销工作的相关经验，全面开展2018年西青区旅游宣传营销工作，对西青旅游进行整体推广、宣传营销、市场拓展。</w:t>
      </w:r>
    </w:p>
    <w:p>
      <w:pPr>
        <w:ind w:firstLine="560"/>
        <w:rPr>
          <w:rFonts w:ascii="Times New Roman" w:hAnsi="Times New Roman" w:eastAsia="方正仿宋简体" w:cs="Times New Roman"/>
          <w:sz w:val="32"/>
          <w:szCs w:val="32"/>
        </w:rPr>
      </w:pPr>
      <w:r>
        <w:rPr>
          <w:rFonts w:ascii="Times New Roman" w:hAnsi="Times New Roman" w:eastAsia="方正仿宋简体" w:cs="Times New Roman"/>
          <w:sz w:val="32"/>
          <w:szCs w:val="32"/>
        </w:rPr>
        <w:t>2018年西青旅游宣传营销项目预算总投入资金1,206.18万元，由区财政全额安排预算资金，项目实施部分应支付资金783.30万元，实际已支出资金587.64万元，除了天津城市宣传片（央视广告）费项目（涉及金额400万元）是根据天津市旅游局要求全市统一未实施外，其他项目均已实施完成，部分项目根据规定需要验收合格后予以支付全款（涉及未支付金额195.66万元），具体实施项目情况如下：</w:t>
      </w:r>
    </w:p>
    <w:p>
      <w:pPr>
        <w:numPr>
          <w:ilvl w:val="0"/>
          <w:numId w:val="2"/>
        </w:numPr>
        <w:ind w:firstLine="560"/>
        <w:rPr>
          <w:rFonts w:ascii="Times New Roman" w:hAnsi="Times New Roman" w:eastAsia="方正仿宋简体" w:cs="Times New Roman"/>
          <w:sz w:val="32"/>
          <w:szCs w:val="32"/>
        </w:rPr>
      </w:pPr>
      <w:r>
        <w:rPr>
          <w:rFonts w:ascii="Times New Roman" w:hAnsi="Times New Roman" w:eastAsia="方正仿宋简体" w:cs="Times New Roman"/>
          <w:sz w:val="32"/>
          <w:szCs w:val="32"/>
        </w:rPr>
        <w:t>“国内外宣传推介”项目</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“国内外宣传推介”项目具体包括“2018中国旅游产业博览会”项目、“参加国内外旅游交易会”项目、“旅游宣传推介”项目。</w:t>
      </w:r>
    </w:p>
    <w:p>
      <w:pPr>
        <w:ind w:firstLine="640" w:firstLineChars="200"/>
        <w:rPr>
          <w:rFonts w:ascii="Times New Roman" w:hAnsi="Times New Roman" w:eastAsia="方正仿宋简体" w:cs="Times New Roman"/>
          <w:b/>
          <w:sz w:val="32"/>
          <w:szCs w:val="32"/>
        </w:rPr>
      </w:pPr>
      <w:r>
        <w:rPr>
          <w:rFonts w:ascii="Times New Roman" w:hAnsi="Times New Roman" w:eastAsia="方正仿宋简体" w:cs="Times New Roman"/>
          <w:sz w:val="32"/>
          <w:szCs w:val="32"/>
        </w:rPr>
        <w:t>中国旅游产业博览会作为文化和旅游部重点支持的综合性旅游展会，努力搭建旅游产业和旅游装备制造业交易平台，展会邀请国内外旅游业界人士，汇集房车、游艇等旅游装备和商业展品售卖，还将举办全国旅游业界旅游展示推介，组织旅游发展热点论坛等，引领旅游发展趋势。</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（1）“2018中国旅游产业博览会”项目</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“2018中国旅游产业博览会”项目包括：</w:t>
      </w:r>
      <w:r>
        <w:rPr>
          <w:rFonts w:ascii="Times New Roman" w:hAnsi="Times New Roman" w:eastAsia="方正仿宋简体" w:cs="Times New Roman"/>
          <w:sz w:val="32"/>
          <w:szCs w:val="32"/>
        </w:rPr>
        <w:fldChar w:fldCharType="begin"/>
      </w:r>
      <w:r>
        <w:rPr>
          <w:rFonts w:ascii="Times New Roman" w:hAnsi="Times New Roman" w:eastAsia="方正仿宋简体" w:cs="Times New Roman"/>
          <w:sz w:val="32"/>
          <w:szCs w:val="32"/>
        </w:rPr>
        <w:instrText xml:space="preserve">= 1 \* GB3</w:instrText>
      </w:r>
      <w:r>
        <w:rPr>
          <w:rFonts w:ascii="Times New Roman" w:hAnsi="Times New Roman" w:eastAsia="方正仿宋简体" w:cs="Times New Roman"/>
          <w:sz w:val="32"/>
          <w:szCs w:val="32"/>
        </w:rPr>
        <w:fldChar w:fldCharType="separate"/>
      </w:r>
      <w:r>
        <w:rPr>
          <w:rFonts w:ascii="Times New Roman" w:hAnsi="Times New Roman" w:eastAsia="方正仿宋简体" w:cs="Times New Roman"/>
          <w:sz w:val="32"/>
          <w:szCs w:val="32"/>
        </w:rPr>
        <w:t>①</w:t>
      </w:r>
      <w:r>
        <w:rPr>
          <w:rFonts w:ascii="Times New Roman" w:hAnsi="Times New Roman" w:eastAsia="方正仿宋简体" w:cs="Times New Roman"/>
          <w:sz w:val="32"/>
          <w:szCs w:val="32"/>
        </w:rPr>
        <w:fldChar w:fldCharType="end"/>
      </w:r>
      <w:r>
        <w:rPr>
          <w:rFonts w:hint="eastAsia" w:ascii="Times New Roman" w:hAnsi="Times New Roman" w:eastAsia="方正仿宋简体" w:cs="Times New Roman"/>
          <w:sz w:val="32"/>
          <w:szCs w:val="32"/>
        </w:rPr>
        <w:t>出具</w:t>
      </w:r>
      <w:r>
        <w:rPr>
          <w:rFonts w:ascii="Times New Roman" w:hAnsi="Times New Roman" w:eastAsia="方正仿宋简体" w:cs="Times New Roman"/>
          <w:sz w:val="32"/>
          <w:szCs w:val="32"/>
        </w:rPr>
        <w:t>展台整体策划设计方案</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展台设计要包括宣传咨询区、精品展示展卖区、非遗表演区，有主题标志L</w:t>
      </w:r>
      <w:r>
        <w:rPr>
          <w:rFonts w:hint="eastAsia" w:ascii="Times New Roman" w:hAnsi="Times New Roman" w:eastAsia="方正仿宋简体" w:cs="Times New Roman"/>
          <w:sz w:val="32"/>
          <w:szCs w:val="32"/>
        </w:rPr>
        <w:t>O</w:t>
      </w:r>
      <w:r>
        <w:rPr>
          <w:rFonts w:ascii="Times New Roman" w:hAnsi="Times New Roman" w:eastAsia="方正仿宋简体" w:cs="Times New Roman"/>
          <w:sz w:val="32"/>
          <w:szCs w:val="32"/>
        </w:rPr>
        <w:t>G</w:t>
      </w:r>
      <w:r>
        <w:rPr>
          <w:rFonts w:hint="eastAsia" w:ascii="Times New Roman" w:hAnsi="Times New Roman" w:eastAsia="方正仿宋简体" w:cs="Times New Roman"/>
          <w:sz w:val="32"/>
          <w:szCs w:val="32"/>
        </w:rPr>
        <w:t>O</w:t>
      </w:r>
      <w:r>
        <w:rPr>
          <w:rFonts w:ascii="Times New Roman" w:hAnsi="Times New Roman" w:eastAsia="方正仿宋简体" w:cs="Times New Roman"/>
          <w:sz w:val="32"/>
          <w:szCs w:val="32"/>
        </w:rPr>
        <w:t>；</w:t>
      </w:r>
      <w:r>
        <w:rPr>
          <w:rFonts w:ascii="Times New Roman" w:hAnsi="Times New Roman" w:eastAsia="方正仿宋简体" w:cs="Times New Roman"/>
          <w:sz w:val="32"/>
          <w:szCs w:val="32"/>
        </w:rPr>
        <w:fldChar w:fldCharType="begin"/>
      </w:r>
      <w:r>
        <w:rPr>
          <w:rFonts w:ascii="Times New Roman" w:hAnsi="Times New Roman" w:eastAsia="方正仿宋简体" w:cs="Times New Roman"/>
          <w:sz w:val="32"/>
          <w:szCs w:val="32"/>
        </w:rPr>
        <w:instrText xml:space="preserve">= 2 \* GB3</w:instrText>
      </w:r>
      <w:r>
        <w:rPr>
          <w:rFonts w:ascii="Times New Roman" w:hAnsi="Times New Roman" w:eastAsia="方正仿宋简体" w:cs="Times New Roman"/>
          <w:sz w:val="32"/>
          <w:szCs w:val="32"/>
        </w:rPr>
        <w:fldChar w:fldCharType="separate"/>
      </w:r>
      <w:r>
        <w:rPr>
          <w:rFonts w:ascii="Times New Roman" w:hAnsi="Times New Roman" w:eastAsia="方正仿宋简体" w:cs="Times New Roman"/>
          <w:sz w:val="32"/>
          <w:szCs w:val="32"/>
        </w:rPr>
        <w:t>②</w:t>
      </w:r>
      <w:r>
        <w:rPr>
          <w:rFonts w:ascii="Times New Roman" w:hAnsi="Times New Roman" w:eastAsia="方正仿宋简体" w:cs="Times New Roman"/>
          <w:sz w:val="32"/>
          <w:szCs w:val="32"/>
        </w:rPr>
        <w:fldChar w:fldCharType="end"/>
      </w:r>
      <w:r>
        <w:rPr>
          <w:rFonts w:hint="eastAsia" w:ascii="Times New Roman" w:hAnsi="Times New Roman" w:eastAsia="方正仿宋简体" w:cs="Times New Roman"/>
          <w:sz w:val="32"/>
          <w:szCs w:val="32"/>
        </w:rPr>
        <w:t>进行现场</w:t>
      </w:r>
      <w:r>
        <w:rPr>
          <w:rFonts w:ascii="Times New Roman" w:hAnsi="Times New Roman" w:eastAsia="方正仿宋简体" w:cs="Times New Roman"/>
          <w:sz w:val="32"/>
          <w:szCs w:val="32"/>
        </w:rPr>
        <w:t>特装</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保证现场需求及会中效果，</w:t>
      </w:r>
      <w:r>
        <w:rPr>
          <w:rFonts w:hint="eastAsia" w:ascii="Times New Roman" w:hAnsi="Times New Roman" w:eastAsia="方正仿宋简体" w:cs="Times New Roman"/>
          <w:sz w:val="32"/>
          <w:szCs w:val="32"/>
        </w:rPr>
        <w:t>确保</w:t>
      </w:r>
      <w:r>
        <w:rPr>
          <w:rFonts w:ascii="Times New Roman" w:hAnsi="Times New Roman" w:eastAsia="方正仿宋简体" w:cs="Times New Roman"/>
          <w:sz w:val="32"/>
          <w:szCs w:val="32"/>
        </w:rPr>
        <w:t>施工工艺的可行性和安全性；</w:t>
      </w:r>
      <w:r>
        <w:rPr>
          <w:rFonts w:ascii="Times New Roman" w:hAnsi="Times New Roman" w:eastAsia="方正仿宋简体" w:cs="Times New Roman"/>
          <w:sz w:val="32"/>
          <w:szCs w:val="32"/>
        </w:rPr>
        <w:fldChar w:fldCharType="begin"/>
      </w:r>
      <w:r>
        <w:rPr>
          <w:rFonts w:ascii="Times New Roman" w:hAnsi="Times New Roman" w:eastAsia="方正仿宋简体" w:cs="Times New Roman"/>
          <w:sz w:val="32"/>
          <w:szCs w:val="32"/>
        </w:rPr>
        <w:instrText xml:space="preserve">= 3 \* GB3</w:instrText>
      </w:r>
      <w:r>
        <w:rPr>
          <w:rFonts w:ascii="Times New Roman" w:hAnsi="Times New Roman" w:eastAsia="方正仿宋简体" w:cs="Times New Roman"/>
          <w:sz w:val="32"/>
          <w:szCs w:val="32"/>
        </w:rPr>
        <w:fldChar w:fldCharType="separate"/>
      </w:r>
      <w:r>
        <w:rPr>
          <w:rFonts w:ascii="Times New Roman" w:hAnsi="Times New Roman" w:eastAsia="方正仿宋简体" w:cs="Times New Roman"/>
          <w:sz w:val="32"/>
          <w:szCs w:val="32"/>
        </w:rPr>
        <w:t>③</w:t>
      </w:r>
      <w:r>
        <w:rPr>
          <w:rFonts w:ascii="Times New Roman" w:hAnsi="Times New Roman" w:eastAsia="方正仿宋简体" w:cs="Times New Roman"/>
          <w:sz w:val="32"/>
          <w:szCs w:val="32"/>
        </w:rPr>
        <w:fldChar w:fldCharType="end"/>
      </w:r>
      <w:r>
        <w:rPr>
          <w:rFonts w:ascii="Times New Roman" w:hAnsi="Times New Roman" w:eastAsia="方正仿宋简体" w:cs="Times New Roman"/>
          <w:sz w:val="32"/>
          <w:szCs w:val="32"/>
        </w:rPr>
        <w:t>现场搭建、撤展、现场维护、交通运输。</w:t>
      </w:r>
    </w:p>
    <w:p>
      <w:pPr>
        <w:ind w:firstLine="640" w:firstLineChars="200"/>
        <w:rPr>
          <w:rFonts w:ascii="Times New Roman" w:hAnsi="Times New Roman" w:eastAsia="方正仿宋简体" w:cs="Times New Roman"/>
          <w:color w:val="FF0000"/>
          <w:sz w:val="32"/>
          <w:szCs w:val="32"/>
        </w:rPr>
      </w:pPr>
      <w:r>
        <w:rPr>
          <w:rFonts w:ascii="Times New Roman" w:hAnsi="Times New Roman" w:eastAsia="方正仿宋简体" w:cs="Times New Roman"/>
          <w:sz w:val="32"/>
          <w:szCs w:val="32"/>
        </w:rPr>
        <w:t>“2018中国旅游产业博览会”项目的预算资金为34.30万元，实施应支付30.85万元，实际已支出资金30.85万元，2018年项目已经实施完成并全部予以支付。</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（2）“参加国内外旅游交易会”项目</w:t>
      </w:r>
    </w:p>
    <w:p>
      <w:pPr>
        <w:ind w:firstLine="640" w:firstLineChars="200"/>
        <w:rPr>
          <w:rFonts w:ascii="Times New Roman" w:hAnsi="Times New Roman" w:eastAsia="方正仿宋简体" w:cs="Times New Roman"/>
          <w:color w:val="FF0000"/>
          <w:sz w:val="32"/>
          <w:szCs w:val="32"/>
          <w:highlight w:val="yellow"/>
        </w:rPr>
      </w:pPr>
      <w:r>
        <w:rPr>
          <w:rFonts w:ascii="Times New Roman" w:hAnsi="Times New Roman" w:eastAsia="方正仿宋简体" w:cs="Times New Roman"/>
          <w:sz w:val="32"/>
          <w:szCs w:val="32"/>
        </w:rPr>
        <w:t>参加第十届中国国际旅游商品博览会、2018北京国际旅游博览会、2018中国-东盟博览会旅游展、2018第一届重庆国际旅游交易会、2018中国国际旅游交易会等多项国内外旅游交易会。“参加国内外旅游交易会”项目的预算资金为16万元，实施应支付5.72万元，实际已支出资金5.72万元，2018年项目已经实施完成并全部予以支付。</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（3）“旅游宣传推介”项目</w:t>
      </w:r>
    </w:p>
    <w:p>
      <w:pPr>
        <w:ind w:firstLine="640" w:firstLineChars="200"/>
        <w:rPr>
          <w:rFonts w:ascii="Times New Roman" w:hAnsi="Times New Roman" w:eastAsia="方正仿宋简体" w:cs="Times New Roman"/>
          <w:color w:val="FF0000"/>
          <w:sz w:val="32"/>
          <w:szCs w:val="32"/>
          <w:highlight w:val="yellow"/>
        </w:rPr>
      </w:pPr>
      <w:r>
        <w:rPr>
          <w:rFonts w:ascii="Times New Roman" w:hAnsi="Times New Roman" w:eastAsia="方正仿宋简体" w:cs="Times New Roman"/>
          <w:sz w:val="32"/>
          <w:szCs w:val="32"/>
        </w:rPr>
        <w:t>赴多地，如：北京丰台、河北邢台、山东滨州等地举办民俗西青旅游推介会。参照往年，旅游推介会由西青区旅游管理部门和重点旅游企业，举办地区旅游发展委员会、新闻媒体和旅行社等多方参会。在推介会现场发放了2018西青春季旅游购物季宣传页、西青旅游地图、旅游手册、旅游提袋、旅游卡套和钥匙扣等旅游宣传品，以有效提升西青旅游在各地区的知名度。“旅游宣传推介”项目的预算资金为35万元，实施应支付34.40万元，实际已支出资金34.40万元，2018年项目已经实施完成并全部予以支付。</w:t>
      </w:r>
    </w:p>
    <w:p>
      <w:pPr>
        <w:ind w:firstLine="560"/>
        <w:rPr>
          <w:rFonts w:ascii="Times New Roman" w:hAnsi="Times New Roman" w:eastAsia="方正仿宋简体" w:cs="Times New Roman"/>
          <w:sz w:val="32"/>
          <w:szCs w:val="32"/>
        </w:rPr>
      </w:pPr>
      <w:r>
        <w:rPr>
          <w:rFonts w:ascii="Times New Roman" w:hAnsi="Times New Roman" w:eastAsia="方正仿宋简体" w:cs="Times New Roman"/>
          <w:sz w:val="32"/>
          <w:szCs w:val="32"/>
        </w:rPr>
        <w:t>2、“节庆活动”项目</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举办2018年西青旅游购物季及第十五届西青民俗文化旅游节活动，推出多项主题活动及优惠措施，旨在整合西青文、体、农、商、旅各行业优质资源，优化旅游产品供给，为市民打造内容新颖、价格实惠、体验丰富的旅游购物产品，拉动西青旅游购物消费的提升。西青区“节庆活动”项目具体包括“2018西青旅游购物季”项目、“第十五届杨柳青民俗文化旅游节”项目。</w:t>
      </w:r>
    </w:p>
    <w:p>
      <w:pPr>
        <w:ind w:firstLine="560"/>
        <w:rPr>
          <w:rFonts w:ascii="Times New Roman" w:hAnsi="Times New Roman" w:eastAsia="方正仿宋简体" w:cs="Times New Roman"/>
          <w:sz w:val="32"/>
          <w:szCs w:val="32"/>
        </w:rPr>
      </w:pPr>
      <w:r>
        <w:rPr>
          <w:rFonts w:ascii="Times New Roman" w:hAnsi="Times New Roman" w:eastAsia="方正仿宋简体" w:cs="Times New Roman"/>
          <w:sz w:val="32"/>
          <w:szCs w:val="32"/>
        </w:rPr>
        <w:t>（1）“2018西青旅游购物季”项目的预算资金为291万元，实施应支付288.50万元，实际已支出资金288.50万元，2018年项目已经实施完成并全部予以支付。</w:t>
      </w:r>
    </w:p>
    <w:p>
      <w:pPr>
        <w:ind w:firstLine="560"/>
        <w:rPr>
          <w:rFonts w:ascii="Times New Roman" w:hAnsi="Times New Roman" w:eastAsia="方正仿宋简体" w:cs="Times New Roman"/>
          <w:color w:val="FF0000"/>
          <w:sz w:val="32"/>
          <w:szCs w:val="32"/>
          <w:highlight w:val="yellow"/>
        </w:rPr>
      </w:pPr>
      <w:r>
        <w:rPr>
          <w:rFonts w:ascii="Times New Roman" w:hAnsi="Times New Roman" w:eastAsia="方正仿宋简体" w:cs="Times New Roman"/>
          <w:sz w:val="32"/>
          <w:szCs w:val="32"/>
        </w:rPr>
        <w:t>（2）“第十五届杨柳青民俗文化旅游节”项目的预算资金为7万元，实施应支付6.99万元，实际已支出资金6.99万元，2018年项目已经实施完成并全部予以支付。</w:t>
      </w:r>
    </w:p>
    <w:p>
      <w:pPr>
        <w:ind w:firstLine="560"/>
        <w:rPr>
          <w:rFonts w:ascii="Times New Roman" w:hAnsi="Times New Roman" w:eastAsia="方正仿宋简体" w:cs="Times New Roman"/>
          <w:sz w:val="32"/>
          <w:szCs w:val="32"/>
        </w:rPr>
      </w:pPr>
      <w:r>
        <w:rPr>
          <w:rFonts w:ascii="Times New Roman" w:hAnsi="Times New Roman" w:eastAsia="方正仿宋简体" w:cs="Times New Roman"/>
          <w:sz w:val="32"/>
          <w:szCs w:val="32"/>
        </w:rPr>
        <w:t>3、“宣传品制作与媒体宣传”项目</w:t>
      </w:r>
    </w:p>
    <w:p>
      <w:pPr>
        <w:ind w:firstLine="560"/>
        <w:rPr>
          <w:rFonts w:ascii="Times New Roman" w:hAnsi="Times New Roman" w:eastAsia="方正仿宋简体" w:cs="Times New Roman"/>
          <w:sz w:val="32"/>
          <w:szCs w:val="32"/>
        </w:rPr>
      </w:pPr>
      <w:r>
        <w:rPr>
          <w:rFonts w:ascii="Times New Roman" w:hAnsi="Times New Roman" w:eastAsia="方正仿宋简体" w:cs="Times New Roman"/>
          <w:sz w:val="32"/>
          <w:szCs w:val="32"/>
        </w:rPr>
        <w:t>为推进西青区旅游创新突破、实现旅游可持续和高质量发展，推动西青区旅游产业的快速发展转型，针对西青区现有的景观、景区的宣传、非物质文化遗产的保护和宣传，加大西青区在全国乃至世界的认知、提高西青区的知名度，扩大其影响力，制定西青区旅游方针政策，制作拍摄“宣传片”、“微电影”，以达到更好宣传西青区旅游的目的。西青区“宣传品制作与媒体宣传”项目具体包括“旅游宣传品制作费”项目、“天津日报旅游专版合作费”项目、“西青城市旅游形象宣传片”项目、“天津城市宣传片（央视广告）费”项目及“印制户外挂牌、宣传展牌、文明旅游手册、文明旅游宣传彩页等”项目。</w:t>
      </w:r>
    </w:p>
    <w:p>
      <w:pPr>
        <w:ind w:firstLine="560"/>
        <w:rPr>
          <w:rFonts w:ascii="Times New Roman" w:hAnsi="Times New Roman" w:eastAsia="方正仿宋简体" w:cs="Times New Roman"/>
          <w:sz w:val="32"/>
          <w:szCs w:val="32"/>
        </w:rPr>
      </w:pPr>
      <w:r>
        <w:rPr>
          <w:rFonts w:ascii="Times New Roman" w:hAnsi="Times New Roman" w:eastAsia="方正仿宋简体" w:cs="Times New Roman"/>
          <w:sz w:val="32"/>
          <w:szCs w:val="32"/>
        </w:rPr>
        <w:t>（1）“2018年旅游宣传品制作费”项目的预算资金为35万元，实施应支付35万元，实际已支出资金0万元，2018年项目已经完成，款项根据规定需要验收合格后予以支付，已于2019年验收合格并予以支付。</w:t>
      </w:r>
    </w:p>
    <w:p>
      <w:pPr>
        <w:ind w:firstLine="560"/>
        <w:rPr>
          <w:rFonts w:ascii="Times New Roman" w:hAnsi="Times New Roman" w:eastAsia="方正仿宋简体" w:cs="Times New Roman"/>
          <w:sz w:val="32"/>
          <w:szCs w:val="32"/>
        </w:rPr>
      </w:pPr>
      <w:r>
        <w:rPr>
          <w:rFonts w:ascii="Times New Roman" w:hAnsi="Times New Roman" w:eastAsia="方正仿宋简体" w:cs="Times New Roman"/>
          <w:sz w:val="32"/>
          <w:szCs w:val="32"/>
        </w:rPr>
        <w:t>（2）“2018年天津日报旅游专版合作费”项目的预算资金为10万元，实施应支付10万元，实际已支出资金10万元，2018年项目已经实施完成并全部予以支付。</w:t>
      </w:r>
    </w:p>
    <w:p>
      <w:pPr>
        <w:ind w:firstLine="560"/>
        <w:rPr>
          <w:rFonts w:ascii="Times New Roman" w:hAnsi="Times New Roman" w:eastAsia="方正仿宋简体" w:cs="Times New Roman"/>
          <w:sz w:val="32"/>
          <w:szCs w:val="32"/>
        </w:rPr>
      </w:pPr>
      <w:r>
        <w:rPr>
          <w:rFonts w:ascii="Times New Roman" w:hAnsi="Times New Roman" w:eastAsia="方正仿宋简体" w:cs="Times New Roman"/>
          <w:sz w:val="32"/>
          <w:szCs w:val="32"/>
        </w:rPr>
        <w:t>（3）“2018年西青城市旅游形象宣传片”项目的预算资金为200万元，实施应支付195万元，实际已支出资金78万元，2018年项目已经实施，根据合同约定已到验收期限，但由于拍摄要求需推迟验收时间，待评审验收合格后支付合同尾款。</w:t>
      </w:r>
    </w:p>
    <w:p>
      <w:pPr>
        <w:ind w:firstLine="560"/>
        <w:rPr>
          <w:rFonts w:ascii="Times New Roman" w:hAnsi="Times New Roman" w:eastAsia="方正仿宋简体" w:cs="Times New Roman"/>
          <w:sz w:val="32"/>
          <w:szCs w:val="32"/>
        </w:rPr>
      </w:pPr>
      <w:r>
        <w:rPr>
          <w:rFonts w:ascii="Times New Roman" w:hAnsi="Times New Roman" w:eastAsia="方正仿宋简体" w:cs="Times New Roman"/>
          <w:sz w:val="32"/>
          <w:szCs w:val="32"/>
        </w:rPr>
        <w:t>（4）“天津城市宣传片（央视广告）费”项目的预算资金为400万元，实际支出资金0万元，本项目是全市统一实施项目，目前尚未予以实施。</w:t>
      </w:r>
    </w:p>
    <w:p>
      <w:pPr>
        <w:ind w:firstLine="560"/>
        <w:rPr>
          <w:rFonts w:ascii="Times New Roman" w:hAnsi="Times New Roman" w:eastAsia="方正仿宋简体" w:cs="Times New Roman"/>
          <w:color w:val="FF0000"/>
          <w:sz w:val="32"/>
          <w:szCs w:val="32"/>
          <w:highlight w:val="yellow"/>
        </w:rPr>
      </w:pPr>
      <w:r>
        <w:rPr>
          <w:rFonts w:ascii="Times New Roman" w:hAnsi="Times New Roman" w:eastAsia="方正仿宋简体" w:cs="Times New Roman"/>
          <w:sz w:val="32"/>
          <w:szCs w:val="32"/>
        </w:rPr>
        <w:t>（5）“2018年印制户外挂牌、宣传展牌、文明旅游手册、文明旅游宣传彩页等”项目的预算资金为5万元，实施应支付4万元，实际已支出资金0万元，2018年项目已经实施完成，款项根据规定需要验收合格后予以支付，已于2019年验收合格并予以支付。</w:t>
      </w:r>
    </w:p>
    <w:p>
      <w:pPr>
        <w:numPr>
          <w:ilvl w:val="0"/>
          <w:numId w:val="3"/>
        </w:numPr>
        <w:ind w:left="559" w:leftChars="266"/>
        <w:rPr>
          <w:rFonts w:ascii="Times New Roman" w:hAnsi="Times New Roman" w:eastAsia="方正仿宋简体" w:cs="Times New Roman"/>
          <w:sz w:val="32"/>
          <w:szCs w:val="32"/>
        </w:rPr>
      </w:pPr>
      <w:r>
        <w:rPr>
          <w:rFonts w:ascii="Times New Roman" w:hAnsi="Times New Roman" w:eastAsia="方正仿宋简体" w:cs="Times New Roman"/>
          <w:sz w:val="32"/>
          <w:szCs w:val="32"/>
        </w:rPr>
        <w:t>“旅游网络营销”项目</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近年随着“互联网+”的兴起，西青区旅游产业获得了新的发展契机，为抓住机遇，结合“互联网+旅游”的模式，积极进行全域智慧旅游项目建设。西青区“旅游网络营销”项目具体包括“西青旅游网络运维”项目、“西青旅游网提升改造”项目、“西青全域旅游手绘电子导览图设计服务”项目。</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（1）“2018年西青旅游网络运维”项目的预算资金为39.70万元，实施应支付39.66万元，实际支出资金0万元，2018年项目已经实施完成，根据合同规定需要网络运行1年后支付，已于2019年予以支付。</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（2）“2018年西青旅游网提升改造”项目预算资金为123.70万元，实施应支付123.70万元，实际支出资金123.70万元，2018年项目已经实施完成并全部予以支付。</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（3）“2018年西青全域旅游手绘电子导览图设计服务”项目预算资金为9.48万元，实施应支付9.48万元，实际支出资金9.48万元，2018年项目已经实施完成并全部予以支付。</w:t>
      </w:r>
    </w:p>
    <w:p>
      <w:pPr>
        <w:pStyle w:val="17"/>
        <w:ind w:firstLine="0" w:firstLineChars="0"/>
        <w:rPr>
          <w:rFonts w:ascii="Times New Roman" w:hAnsi="Times New Roman" w:eastAsia="楷体_GB2312" w:cs="Times New Roman"/>
          <w:bCs/>
          <w:sz w:val="32"/>
          <w:szCs w:val="32"/>
          <w:highlight w:val="lightGray"/>
        </w:rPr>
      </w:pPr>
      <w:r>
        <w:rPr>
          <w:rFonts w:ascii="Times New Roman" w:hAnsi="Times New Roman" w:eastAsia="方正仿宋简体" w:cs="Times New Roman"/>
          <w:b/>
          <w:bCs/>
          <w:sz w:val="32"/>
          <w:szCs w:val="32"/>
        </w:rPr>
        <w:t xml:space="preserve">   </w:t>
      </w:r>
      <w:r>
        <w:rPr>
          <w:rFonts w:ascii="Times New Roman" w:hAnsi="Times New Roman" w:eastAsia="楷体_GB2312" w:cs="Times New Roman"/>
          <w:b/>
          <w:bCs/>
          <w:sz w:val="32"/>
          <w:szCs w:val="32"/>
        </w:rPr>
        <w:t xml:space="preserve"> </w:t>
      </w:r>
      <w:r>
        <w:rPr>
          <w:rFonts w:ascii="Times New Roman" w:hAnsi="Times New Roman" w:eastAsia="楷体_GB2312" w:cs="Times New Roman"/>
          <w:bCs/>
          <w:sz w:val="32"/>
          <w:szCs w:val="32"/>
        </w:rPr>
        <w:t>（三）项目绩效目标</w:t>
      </w:r>
    </w:p>
    <w:p>
      <w:pPr>
        <w:ind w:firstLine="560"/>
        <w:rPr>
          <w:rFonts w:ascii="Times New Roman" w:hAnsi="Times New Roman" w:eastAsia="方正仿宋简体" w:cs="Times New Roman"/>
          <w:sz w:val="32"/>
          <w:szCs w:val="32"/>
        </w:rPr>
      </w:pPr>
      <w:r>
        <w:rPr>
          <w:rFonts w:ascii="Times New Roman" w:hAnsi="Times New Roman" w:eastAsia="方正仿宋简体" w:cs="Times New Roman"/>
          <w:sz w:val="32"/>
          <w:szCs w:val="32"/>
        </w:rPr>
        <w:t>2018年西青旅游宣传营销项目建设以提高西青品牌知名度为目标。</w:t>
      </w:r>
    </w:p>
    <w:p>
      <w:pPr>
        <w:ind w:firstLine="560"/>
        <w:rPr>
          <w:rFonts w:ascii="Times New Roman" w:hAnsi="Times New Roman" w:eastAsia="方正仿宋简体" w:cs="Times New Roman"/>
          <w:sz w:val="32"/>
          <w:szCs w:val="32"/>
        </w:rPr>
      </w:pPr>
      <w:r>
        <w:rPr>
          <w:rFonts w:ascii="Times New Roman" w:hAnsi="Times New Roman" w:eastAsia="方正仿宋简体" w:cs="Times New Roman"/>
          <w:sz w:val="32"/>
          <w:szCs w:val="32"/>
        </w:rPr>
        <w:t>根据西青旅游发展的特点，政府主导的旅游宣传营销对于整个西青旅游产业发展起着至关重要的作用，通过系统营销活动的开展，提升西青旅游产业的发展，达到扩大国内外游客对西青旅游的感知，提</w:t>
      </w:r>
      <w:r>
        <w:rPr>
          <w:rFonts w:hint="eastAsia" w:ascii="Times New Roman" w:hAnsi="Times New Roman" w:eastAsia="方正仿宋简体" w:cs="Times New Roman"/>
          <w:sz w:val="32"/>
          <w:szCs w:val="32"/>
        </w:rPr>
        <w:t>高</w:t>
      </w:r>
      <w:r>
        <w:rPr>
          <w:rFonts w:ascii="Times New Roman" w:hAnsi="Times New Roman" w:eastAsia="方正仿宋简体" w:cs="Times New Roman"/>
          <w:sz w:val="32"/>
          <w:szCs w:val="32"/>
        </w:rPr>
        <w:t>西青旅游的知名度，扩大京津冀、高铁沿线以及国内外旅游市场份额，提高西青旅游产业综合收入的目的。</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1、扩大宣传，提高西青旅游知名度</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加强区域协同，深度挖掘“杨柳青古镇、霍元甲老家”品牌内涵，以京津冀重点城市为目标市场加强宣传推广力度。赴北京、河北两地举办好西青主题推介会。提升基层营销参展能力，组织参加国内有规模、有代表性的旅游展会，扩大崇文尚武、运河文化、红色文化等旅游产品的宣传，提升产品知名度。引导企业由宣传旅游资源向推广旅游产品转变，加强与市区成熟旅游产品的横向联合，策划推广西青+市内特色线路，培育西青深度游产品。强化形象宣传，策划拍摄新版西青旅游宣传片。扩大与央视、中国旅游报、天津日报等主流媒体合作，建立传播矩阵。提升旅游宣传品质量，实现全市重点景区、酒店、交通站点的全覆盖。</w:t>
      </w:r>
    </w:p>
    <w:p>
      <w:pPr>
        <w:numPr>
          <w:ilvl w:val="0"/>
          <w:numId w:val="2"/>
        </w:numPr>
        <w:ind w:firstLine="560"/>
        <w:rPr>
          <w:rFonts w:ascii="Times New Roman" w:hAnsi="Times New Roman" w:eastAsia="方正仿宋简体" w:cs="Times New Roman"/>
          <w:sz w:val="32"/>
          <w:szCs w:val="32"/>
        </w:rPr>
      </w:pPr>
      <w:r>
        <w:rPr>
          <w:rFonts w:ascii="Times New Roman" w:hAnsi="Times New Roman" w:eastAsia="方正仿宋简体" w:cs="Times New Roman"/>
          <w:sz w:val="32"/>
          <w:szCs w:val="32"/>
        </w:rPr>
        <w:t>开发旅游商品，拓宽旅游增收渠道</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开展好西青旅游商品网络评选活动，做好中国旅游商品大赛等组织参赛工作，重点推动社会山“津礼物”旅游商品研发和推广，丰富内容，形成系列，打造品牌。鼓励街镇企业设计开发有市场、有特色，在天津、在全国有一定影响的个性化旅游商品，增加旅游综合收入。</w:t>
      </w:r>
    </w:p>
    <w:p>
      <w:pPr>
        <w:jc w:val="left"/>
        <w:rPr>
          <w:rFonts w:ascii="Times New Roman" w:hAnsi="Times New Roman" w:eastAsia="黑体" w:cs="Times New Roman"/>
          <w:bCs/>
          <w:sz w:val="32"/>
          <w:szCs w:val="32"/>
        </w:rPr>
      </w:pPr>
      <w:r>
        <w:rPr>
          <w:rFonts w:ascii="Times New Roman" w:hAnsi="Times New Roman" w:eastAsia="方正仿宋简体" w:cs="Times New Roman"/>
          <w:b/>
          <w:bCs/>
          <w:sz w:val="32"/>
          <w:szCs w:val="32"/>
        </w:rPr>
        <w:t xml:space="preserve">  </w:t>
      </w:r>
      <w:r>
        <w:rPr>
          <w:rFonts w:ascii="Times New Roman" w:hAnsi="Times New Roman" w:eastAsia="方正仿宋简体" w:cs="Times New Roman"/>
          <w:bCs/>
          <w:sz w:val="32"/>
          <w:szCs w:val="32"/>
        </w:rPr>
        <w:t xml:space="preserve">  </w:t>
      </w:r>
      <w:r>
        <w:rPr>
          <w:rFonts w:ascii="Times New Roman" w:hAnsi="Times New Roman" w:eastAsia="黑体" w:cs="Times New Roman"/>
          <w:bCs/>
          <w:sz w:val="32"/>
          <w:szCs w:val="32"/>
        </w:rPr>
        <w:t>二、绩效评价工作</w:t>
      </w:r>
    </w:p>
    <w:p>
      <w:pPr>
        <w:rPr>
          <w:rFonts w:ascii="Times New Roman" w:hAnsi="Times New Roman" w:eastAsia="楷体_GB2312" w:cs="Times New Roman"/>
          <w:bCs/>
          <w:sz w:val="32"/>
          <w:szCs w:val="32"/>
        </w:rPr>
      </w:pPr>
      <w:r>
        <w:rPr>
          <w:rFonts w:ascii="Times New Roman" w:hAnsi="Times New Roman" w:eastAsia="方正仿宋简体" w:cs="Times New Roman"/>
          <w:b/>
          <w:bCs/>
          <w:sz w:val="32"/>
          <w:szCs w:val="32"/>
        </w:rPr>
        <w:t xml:space="preserve">   </w:t>
      </w:r>
      <w:r>
        <w:rPr>
          <w:rFonts w:ascii="Times New Roman" w:hAnsi="Times New Roman" w:eastAsia="楷体_GB2312" w:cs="Times New Roman"/>
          <w:b/>
          <w:bCs/>
          <w:sz w:val="32"/>
          <w:szCs w:val="32"/>
        </w:rPr>
        <w:t xml:space="preserve"> </w:t>
      </w:r>
      <w:r>
        <w:rPr>
          <w:rFonts w:ascii="Times New Roman" w:hAnsi="Times New Roman" w:eastAsia="楷体_GB2312" w:cs="Times New Roman"/>
          <w:bCs/>
          <w:sz w:val="32"/>
          <w:szCs w:val="32"/>
        </w:rPr>
        <w:t>（一）绩效评价的目的</w:t>
      </w:r>
    </w:p>
    <w:p>
      <w:pPr>
        <w:ind w:firstLine="576"/>
        <w:rPr>
          <w:rFonts w:ascii="Times New Roman" w:hAnsi="Times New Roman" w:eastAsia="方正仿宋简体" w:cs="Times New Roman"/>
          <w:sz w:val="32"/>
          <w:szCs w:val="32"/>
        </w:rPr>
      </w:pPr>
      <w:r>
        <w:rPr>
          <w:rFonts w:ascii="Times New Roman" w:hAnsi="Times New Roman" w:eastAsia="方正仿宋简体" w:cs="Times New Roman"/>
          <w:sz w:val="32"/>
          <w:szCs w:val="32"/>
        </w:rPr>
        <w:t>绩效评价是以科学规范、公正公开、分级分类、绩效相关为原则，运用科学、合理的绩效评价指标、评价标准和评价方法，对财政支出的经济性、效率性和效益性进行客观、公正的评价。总结项目管理与执行经验，为相关部门决策、管理提供参考依据；推动建立以绩效评价结果为导向的财政资金分配与管理制度，提升财政资金科学化管理水平；对项目的绩效评价，可以清楚的了解项目建设的目标达标情况和财政资金的使用情况。</w:t>
      </w:r>
    </w:p>
    <w:p>
      <w:pPr>
        <w:ind w:firstLine="627" w:firstLineChars="196"/>
        <w:rPr>
          <w:rFonts w:ascii="Times New Roman" w:hAnsi="Times New Roman" w:eastAsia="楷体_GB2312" w:cs="Times New Roman"/>
          <w:bCs/>
          <w:sz w:val="32"/>
          <w:szCs w:val="32"/>
        </w:rPr>
      </w:pPr>
      <w:r>
        <w:rPr>
          <w:rFonts w:ascii="Times New Roman" w:hAnsi="Times New Roman" w:eastAsia="楷体_GB2312" w:cs="Times New Roman"/>
          <w:bCs/>
          <w:sz w:val="32"/>
          <w:szCs w:val="32"/>
        </w:rPr>
        <w:t>（二）绩效评价方法及指标体系</w:t>
      </w:r>
    </w:p>
    <w:p>
      <w:pPr>
        <w:rPr>
          <w:rFonts w:ascii="Times New Roman" w:hAnsi="Times New Roman" w:eastAsia="方正仿宋简体" w:cs="Times New Roman"/>
          <w:sz w:val="32"/>
          <w:szCs w:val="32"/>
        </w:rPr>
      </w:pPr>
      <w:r>
        <w:rPr>
          <w:rFonts w:ascii="Times New Roman" w:hAnsi="Times New Roman" w:eastAsia="方正仿宋简体" w:cs="Times New Roman"/>
          <w:sz w:val="32"/>
          <w:szCs w:val="32"/>
        </w:rPr>
        <w:t xml:space="preserve">    1、绩效评价方法</w:t>
      </w:r>
    </w:p>
    <w:p>
      <w:pPr>
        <w:rPr>
          <w:rFonts w:ascii="Times New Roman" w:hAnsi="Times New Roman" w:eastAsia="方正仿宋简体" w:cs="Times New Roman"/>
          <w:sz w:val="32"/>
          <w:szCs w:val="32"/>
        </w:rPr>
      </w:pPr>
      <w:r>
        <w:rPr>
          <w:rFonts w:ascii="Times New Roman" w:hAnsi="Times New Roman" w:eastAsia="方正仿宋简体" w:cs="Times New Roman"/>
          <w:sz w:val="32"/>
          <w:szCs w:val="32"/>
        </w:rPr>
        <w:t xml:space="preserve">    根据《财政部关于印发</w:t>
      </w:r>
      <w:r>
        <w:rPr>
          <w:rFonts w:hint="eastAsia" w:ascii="Times New Roman" w:hAnsi="Times New Roman" w:eastAsia="方正仿宋简体" w:cs="Times New Roman"/>
          <w:sz w:val="32"/>
          <w:szCs w:val="32"/>
        </w:rPr>
        <w:t>&lt;</w:t>
      </w:r>
      <w:r>
        <w:rPr>
          <w:rFonts w:ascii="Times New Roman" w:hAnsi="Times New Roman" w:eastAsia="方正仿宋简体" w:cs="Times New Roman"/>
          <w:sz w:val="32"/>
          <w:szCs w:val="32"/>
        </w:rPr>
        <w:t>财政支出绩效评价管理办法</w:t>
      </w:r>
      <w:r>
        <w:rPr>
          <w:rFonts w:hint="eastAsia" w:ascii="Times New Roman" w:hAnsi="Times New Roman" w:eastAsia="方正仿宋简体" w:cs="Times New Roman"/>
          <w:sz w:val="32"/>
          <w:szCs w:val="32"/>
        </w:rPr>
        <w:t>&gt;</w:t>
      </w:r>
      <w:r>
        <w:rPr>
          <w:rFonts w:ascii="Times New Roman" w:hAnsi="Times New Roman" w:eastAsia="方正仿宋简体" w:cs="Times New Roman"/>
          <w:sz w:val="32"/>
          <w:szCs w:val="32"/>
        </w:rPr>
        <w:t>的通知》、天津市财政局《天津市财政支出绩效评价管理办法》，结合本项目特点，成立专门评价组进行评价体系的构建。</w:t>
      </w:r>
    </w:p>
    <w:p>
      <w:pPr>
        <w:rPr>
          <w:rFonts w:ascii="Times New Roman" w:hAnsi="Times New Roman" w:eastAsia="方正仿宋简体" w:cs="Times New Roman"/>
          <w:sz w:val="32"/>
          <w:szCs w:val="32"/>
        </w:rPr>
      </w:pPr>
      <w:r>
        <w:rPr>
          <w:rFonts w:ascii="Times New Roman" w:hAnsi="Times New Roman" w:eastAsia="方正仿宋简体" w:cs="Times New Roman"/>
          <w:sz w:val="32"/>
          <w:szCs w:val="32"/>
        </w:rPr>
        <w:t xml:space="preserve">    评价工作遵循“客观、公正、科学、规范”的原则，采用“以结果为导向、基于证据”的绩效评价方法，主要从项目投入、过程、产出、效果等四个方面对评价目标进行逐步分解，从定性与定量两个角度综合考量，评价资金使用的效率与效益。评价主要采用比较法和因素分析法。</w:t>
      </w:r>
    </w:p>
    <w:p>
      <w:pPr>
        <w:rPr>
          <w:rFonts w:ascii="Times New Roman" w:hAnsi="Times New Roman" w:eastAsia="方正仿宋简体" w:cs="Times New Roman"/>
          <w:sz w:val="32"/>
          <w:szCs w:val="32"/>
        </w:rPr>
      </w:pPr>
      <w:r>
        <w:rPr>
          <w:rFonts w:ascii="Times New Roman" w:hAnsi="Times New Roman" w:eastAsia="方正仿宋简体" w:cs="Times New Roman"/>
          <w:sz w:val="32"/>
          <w:szCs w:val="32"/>
        </w:rPr>
        <w:t xml:space="preserve">    2、绩效评价指标体系</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评价指标体系分为四大部分，即项目前期工作、组织、实施、效果。这四大部分反映了一个项目从制定计划、组织实施到效益的整个过程，采取百分制的计分方式。主要包括项目实施计划、组织管理、项目完成情况、资金落实及支出、资金使用合法合规性和社会效益等情况。</w:t>
      </w:r>
    </w:p>
    <w:p>
      <w:pPr>
        <w:rPr>
          <w:rFonts w:ascii="Times New Roman" w:hAnsi="Times New Roman" w:eastAsia="方正仿宋简体" w:cs="Times New Roman"/>
          <w:sz w:val="32"/>
          <w:szCs w:val="32"/>
        </w:rPr>
      </w:pPr>
      <w:r>
        <w:rPr>
          <w:rFonts w:ascii="Times New Roman" w:hAnsi="Times New Roman" w:eastAsia="方正仿宋简体" w:cs="Times New Roman"/>
          <w:sz w:val="32"/>
          <w:szCs w:val="32"/>
        </w:rPr>
        <w:t xml:space="preserve">    3、绩效评价工作流程</w:t>
      </w:r>
    </w:p>
    <w:p>
      <w:pPr>
        <w:rPr>
          <w:rFonts w:ascii="Times New Roman" w:hAnsi="Times New Roman" w:eastAsia="方正仿宋简体" w:cs="Times New Roman"/>
          <w:sz w:val="32"/>
          <w:szCs w:val="32"/>
        </w:rPr>
      </w:pPr>
      <w:r>
        <w:rPr>
          <w:rFonts w:ascii="Times New Roman" w:hAnsi="Times New Roman" w:eastAsia="方正仿宋简体" w:cs="Times New Roman"/>
          <w:sz w:val="32"/>
          <w:szCs w:val="32"/>
        </w:rPr>
        <w:t xml:space="preserve">    根据本次项目的实际情况，我们将本次评价工作分为七个步骤：</w:t>
      </w:r>
    </w:p>
    <w:p>
      <w:pPr>
        <w:rPr>
          <w:rFonts w:ascii="Times New Roman" w:hAnsi="Times New Roman" w:eastAsia="方正仿宋简体" w:cs="Times New Roman"/>
          <w:sz w:val="32"/>
          <w:szCs w:val="32"/>
        </w:rPr>
      </w:pPr>
      <w:r>
        <w:rPr>
          <w:rFonts w:ascii="Times New Roman" w:hAnsi="Times New Roman" w:eastAsia="方正仿宋简体" w:cs="Times New Roman"/>
          <w:sz w:val="32"/>
          <w:szCs w:val="32"/>
        </w:rPr>
        <w:t xml:space="preserve">    第一、成立评价工作小组；</w:t>
      </w:r>
    </w:p>
    <w:p>
      <w:pPr>
        <w:rPr>
          <w:rFonts w:ascii="Times New Roman" w:hAnsi="Times New Roman" w:eastAsia="方正仿宋简体" w:cs="Times New Roman"/>
          <w:sz w:val="32"/>
          <w:szCs w:val="32"/>
        </w:rPr>
      </w:pPr>
      <w:r>
        <w:rPr>
          <w:rFonts w:ascii="Times New Roman" w:hAnsi="Times New Roman" w:eastAsia="方正仿宋简体" w:cs="Times New Roman"/>
          <w:sz w:val="32"/>
          <w:szCs w:val="32"/>
        </w:rPr>
        <w:t xml:space="preserve">    第二、进行前期调研，对项目基础资料进行收集、整理和分析；</w:t>
      </w:r>
    </w:p>
    <w:p>
      <w:pPr>
        <w:rPr>
          <w:rFonts w:ascii="Times New Roman" w:hAnsi="Times New Roman" w:eastAsia="方正仿宋简体" w:cs="Times New Roman"/>
          <w:sz w:val="32"/>
          <w:szCs w:val="32"/>
        </w:rPr>
      </w:pPr>
      <w:r>
        <w:rPr>
          <w:rFonts w:ascii="Times New Roman" w:hAnsi="Times New Roman" w:eastAsia="方正仿宋简体" w:cs="Times New Roman"/>
          <w:sz w:val="32"/>
          <w:szCs w:val="32"/>
        </w:rPr>
        <w:t xml:space="preserve">    第三、对项目资金的收支进行审核工作；</w:t>
      </w:r>
    </w:p>
    <w:p>
      <w:pPr>
        <w:rPr>
          <w:rFonts w:ascii="Times New Roman" w:hAnsi="Times New Roman" w:eastAsia="方正仿宋简体" w:cs="Times New Roman"/>
          <w:sz w:val="32"/>
          <w:szCs w:val="32"/>
        </w:rPr>
      </w:pPr>
      <w:r>
        <w:rPr>
          <w:rFonts w:ascii="Times New Roman" w:hAnsi="Times New Roman" w:eastAsia="方正仿宋简体" w:cs="Times New Roman"/>
          <w:sz w:val="32"/>
          <w:szCs w:val="32"/>
        </w:rPr>
        <w:t xml:space="preserve">    第四</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评价小组讨论并确定评价指标体系；</w:t>
      </w:r>
    </w:p>
    <w:p>
      <w:pPr>
        <w:rPr>
          <w:rFonts w:ascii="Times New Roman" w:hAnsi="Times New Roman" w:eastAsia="方正仿宋简体" w:cs="Times New Roman"/>
          <w:sz w:val="32"/>
          <w:szCs w:val="32"/>
        </w:rPr>
      </w:pPr>
      <w:r>
        <w:rPr>
          <w:rFonts w:ascii="Times New Roman" w:hAnsi="Times New Roman" w:eastAsia="方正仿宋简体" w:cs="Times New Roman"/>
          <w:sz w:val="32"/>
          <w:szCs w:val="32"/>
        </w:rPr>
        <w:t xml:space="preserve">    第五、现场进行评价，对区域内12个A级旅游景点中的10个景点情况进行现场观察，同时发放游客满意度评议调查问卷，进行现场评价；</w:t>
      </w:r>
    </w:p>
    <w:p>
      <w:pPr>
        <w:rPr>
          <w:rFonts w:ascii="Times New Roman" w:hAnsi="Times New Roman" w:eastAsia="方正仿宋简体" w:cs="Times New Roman"/>
          <w:sz w:val="32"/>
          <w:szCs w:val="32"/>
        </w:rPr>
      </w:pPr>
      <w:r>
        <w:rPr>
          <w:rFonts w:ascii="Times New Roman" w:hAnsi="Times New Roman" w:eastAsia="方正仿宋简体" w:cs="Times New Roman"/>
          <w:sz w:val="32"/>
          <w:szCs w:val="32"/>
        </w:rPr>
        <w:t xml:space="preserve">    第六、评价小组根据所确定的评价指标体系进行评价打分；</w:t>
      </w:r>
    </w:p>
    <w:p>
      <w:pPr>
        <w:rPr>
          <w:rFonts w:ascii="Times New Roman" w:hAnsi="Times New Roman" w:eastAsia="方正仿宋简体" w:cs="Times New Roman"/>
          <w:sz w:val="32"/>
          <w:szCs w:val="32"/>
        </w:rPr>
      </w:pPr>
      <w:r>
        <w:rPr>
          <w:rFonts w:ascii="Times New Roman" w:hAnsi="Times New Roman" w:eastAsia="方正仿宋简体" w:cs="Times New Roman"/>
          <w:sz w:val="32"/>
          <w:szCs w:val="32"/>
        </w:rPr>
        <w:t xml:space="preserve">    第七、总结评价结论，同时归纳问题、提出建议。</w:t>
      </w:r>
    </w:p>
    <w:p>
      <w:pPr>
        <w:jc w:val="left"/>
        <w:rPr>
          <w:rFonts w:ascii="Times New Roman" w:hAnsi="Times New Roman" w:eastAsia="黑体" w:cs="Times New Roman"/>
          <w:bCs/>
          <w:sz w:val="32"/>
          <w:szCs w:val="32"/>
        </w:rPr>
      </w:pPr>
      <w:r>
        <w:rPr>
          <w:rFonts w:ascii="Times New Roman" w:hAnsi="Times New Roman" w:eastAsia="方正仿宋简体" w:cs="Times New Roman"/>
          <w:b/>
          <w:bCs/>
          <w:sz w:val="32"/>
          <w:szCs w:val="32"/>
        </w:rPr>
        <w:t xml:space="preserve"> </w:t>
      </w:r>
      <w:r>
        <w:rPr>
          <w:rFonts w:ascii="Times New Roman" w:hAnsi="Times New Roman" w:eastAsia="黑体" w:cs="Times New Roman"/>
          <w:bCs/>
          <w:sz w:val="32"/>
          <w:szCs w:val="32"/>
        </w:rPr>
        <w:t xml:space="preserve">   三、绩效评价指标的分析情况</w:t>
      </w:r>
    </w:p>
    <w:p>
      <w:pPr>
        <w:pStyle w:val="17"/>
        <w:spacing w:line="324" w:lineRule="auto"/>
        <w:ind w:firstLine="0" w:firstLineChars="0"/>
        <w:rPr>
          <w:rFonts w:ascii="Times New Roman" w:hAnsi="Times New Roman" w:eastAsia="楷体_GB2312" w:cs="Times New Roman"/>
          <w:bCs/>
          <w:sz w:val="32"/>
          <w:szCs w:val="32"/>
        </w:rPr>
      </w:pPr>
      <w:r>
        <w:rPr>
          <w:rFonts w:ascii="Times New Roman" w:hAnsi="Times New Roman" w:eastAsia="方正仿宋简体" w:cs="Times New Roman"/>
          <w:b/>
          <w:bCs/>
          <w:sz w:val="32"/>
          <w:szCs w:val="32"/>
        </w:rPr>
        <w:t xml:space="preserve">  </w:t>
      </w:r>
      <w:r>
        <w:rPr>
          <w:rFonts w:ascii="Times New Roman" w:hAnsi="Times New Roman" w:eastAsia="方正仿宋简体" w:cs="Times New Roman"/>
          <w:bCs/>
          <w:sz w:val="32"/>
          <w:szCs w:val="32"/>
        </w:rPr>
        <w:t xml:space="preserve">  </w:t>
      </w:r>
      <w:r>
        <w:rPr>
          <w:rFonts w:ascii="Times New Roman" w:hAnsi="Times New Roman" w:eastAsia="楷体_GB2312" w:cs="Times New Roman"/>
          <w:bCs/>
          <w:sz w:val="32"/>
          <w:szCs w:val="32"/>
        </w:rPr>
        <w:t>（一）项目实施计划的编制情况分析</w:t>
      </w:r>
    </w:p>
    <w:p>
      <w:pPr>
        <w:rPr>
          <w:rFonts w:ascii="Times New Roman" w:hAnsi="Times New Roman" w:eastAsia="方正仿宋简体" w:cs="Times New Roman"/>
          <w:sz w:val="32"/>
          <w:szCs w:val="32"/>
        </w:rPr>
      </w:pPr>
      <w:r>
        <w:rPr>
          <w:rFonts w:ascii="Times New Roman" w:hAnsi="Times New Roman" w:eastAsia="方正仿宋简体" w:cs="Times New Roman"/>
          <w:sz w:val="32"/>
          <w:szCs w:val="32"/>
        </w:rPr>
        <w:t xml:space="preserve">    为进一步推动旅游规划实施和协调机制建设，加快建设全域旅游示范区，提升乡村旅游发展质量。2018年旅游宣传营销工作按照西青区的总体部署及就目前情况编制的西青区旅游发展中长期规划，结合2017年旅游宣传营销工作的相关经验，全面开展2018年西青旅游宣传营销工作。</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西青区文旅局2018年部门预算及相关资料反映2018年西青旅游宣传营销项目计划主要从“国内外宣传推介”项目（包括2018中国旅游产业博览会、参加国内外旅游交易会、旅游宣传推介等三个明细项目）、“节庆活动”项目（包括2018西青旅游购物季、第十五届杨柳青民俗文化旅游节等两个明细项目）、“旅游宣传品制作与媒体宣传”项目（包括旅游宣传品制作费、天津日报旅游专版合作费、西青城市旅游形象宣传片、天津城市宣传片（央视广告）费、印制户外挂牌、宣传展牌、文明旅游手册、文明旅游宣传彩页等五个明细项目）以及“旅游网络营销”项目（包括西青旅游网络运维、西青旅游网提升改造项目及西青全域旅游手绘电子导览图设计服务等三个明细项目）等四大方面开展宣传营销工作，预计总投入金额1,206.18万元。</w:t>
      </w:r>
    </w:p>
    <w:p>
      <w:pPr>
        <w:rPr>
          <w:rFonts w:ascii="Times New Roman" w:hAnsi="Times New Roman" w:eastAsia="方正仿宋简体" w:cs="Times New Roman"/>
          <w:sz w:val="32"/>
          <w:szCs w:val="32"/>
        </w:rPr>
      </w:pPr>
      <w:r>
        <w:rPr>
          <w:rFonts w:ascii="Times New Roman" w:hAnsi="Times New Roman" w:eastAsia="方正仿宋简体" w:cs="Times New Roman"/>
          <w:sz w:val="32"/>
          <w:szCs w:val="32"/>
        </w:rPr>
        <w:t xml:space="preserve">    我们通过对项目实施相关资料的搜集、分析，可以确认各类宣传营销项目基本进行了项目前期的实施方案制定，同时将2018年西青旅游宣传营销项目整体列入2018年度财政预算进行管理。</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该项目计划规范，申报、批复程序合法。</w:t>
      </w:r>
    </w:p>
    <w:p>
      <w:pPr>
        <w:rPr>
          <w:rFonts w:ascii="Times New Roman" w:hAnsi="Times New Roman" w:eastAsia="楷体_GB2312" w:cs="Times New Roman"/>
          <w:bCs/>
          <w:sz w:val="32"/>
          <w:szCs w:val="32"/>
        </w:rPr>
      </w:pPr>
      <w:r>
        <w:rPr>
          <w:rFonts w:ascii="Times New Roman" w:hAnsi="Times New Roman" w:eastAsia="方正仿宋简体" w:cs="Times New Roman"/>
          <w:b/>
          <w:bCs/>
          <w:sz w:val="32"/>
          <w:szCs w:val="32"/>
        </w:rPr>
        <w:t xml:space="preserve">    </w:t>
      </w:r>
      <w:r>
        <w:rPr>
          <w:rFonts w:ascii="Times New Roman" w:hAnsi="Times New Roman" w:eastAsia="楷体_GB2312" w:cs="Times New Roman"/>
          <w:bCs/>
          <w:sz w:val="32"/>
          <w:szCs w:val="32"/>
        </w:rPr>
        <w:t>（二）项目资金到位情况分析</w:t>
      </w:r>
    </w:p>
    <w:p>
      <w:pPr>
        <w:ind w:firstLine="576"/>
        <w:rPr>
          <w:rFonts w:ascii="Times New Roman" w:hAnsi="Times New Roman" w:eastAsia="方正仿宋简体" w:cs="Times New Roman"/>
          <w:sz w:val="32"/>
          <w:szCs w:val="32"/>
        </w:rPr>
      </w:pPr>
      <w:r>
        <w:rPr>
          <w:rFonts w:ascii="Times New Roman" w:hAnsi="Times New Roman" w:eastAsia="方正仿宋简体" w:cs="Times New Roman"/>
          <w:sz w:val="32"/>
          <w:szCs w:val="32"/>
        </w:rPr>
        <w:t>我们现场对西青区文旅局的相关会计收支明细表、会计凭证等资料进行了详细的审核，本项目预算金额1,206.18万元，根据各个项目的合同签订、履约情况及验收报告情况反映：本项目已实施部分应支付资金合计为7,832,961.50元，占预算资金的64.94%，本项目预算资金与已实施应支付资金差异为4,228,838.50元，主要是“天津城市宣传片（央视广告）费”项目涉及需要全市统一实施，但尚未实施造成，涉及金额400万元；其他差异是由于已实施项目合同金额小于预算资金造成，涉及金额228,838.50元。</w:t>
      </w:r>
    </w:p>
    <w:p>
      <w:pPr>
        <w:ind w:firstLine="576"/>
        <w:rPr>
          <w:rFonts w:ascii="Times New Roman" w:hAnsi="Times New Roman" w:eastAsia="方正仿宋简体" w:cs="Times New Roman"/>
          <w:sz w:val="32"/>
          <w:szCs w:val="32"/>
        </w:rPr>
      </w:pPr>
      <w:r>
        <w:rPr>
          <w:rFonts w:ascii="Times New Roman" w:hAnsi="Times New Roman" w:eastAsia="方正仿宋简体" w:cs="Times New Roman"/>
          <w:sz w:val="32"/>
          <w:szCs w:val="32"/>
        </w:rPr>
        <w:t>除“天津城市宣传片（央视广告）费”项目尚未实施外，2018年西青旅游宣传营销项目全部予以实施，本项目已实施部分区财政专项资金应支付7,832,961.50元，根据合同验收等进展情况实际应到位资金6,656,361.50元，已到位资金5,876,361.50 元，按照合同规定的资金到位率为88.28%。本项目已实施部分应支付资金与已到位资金差异主要是由于“旅游宣传品制作费”项目、“印制户外挂牌、宣传展牌、文明旅游手册、文明旅游宣传彩页等”项目及“西青旅游网络运维”项目依据合同规定尚未进行验收，尚未予以支付造成；而“西青城市旅游形象宣传片”项目中期款到期尚未予以支付，待整体验收合格后统一支付。</w:t>
      </w:r>
    </w:p>
    <w:p>
      <w:pPr>
        <w:ind w:firstLine="576"/>
        <w:rPr>
          <w:rFonts w:ascii="Times New Roman" w:hAnsi="Times New Roman" w:eastAsia="方正仿宋简体" w:cs="Times New Roman"/>
          <w:sz w:val="32"/>
          <w:szCs w:val="32"/>
        </w:rPr>
      </w:pPr>
      <w:r>
        <w:rPr>
          <w:rFonts w:ascii="Times New Roman" w:hAnsi="Times New Roman" w:eastAsia="方正仿宋简体" w:cs="Times New Roman"/>
          <w:sz w:val="32"/>
          <w:szCs w:val="32"/>
        </w:rPr>
        <w:t>目前实际到位的资金相关支付手续合规、完整，本项目已实施的项目资金到位率为</w:t>
      </w:r>
      <w:r>
        <w:rPr>
          <w:rFonts w:hint="eastAsia" w:ascii="Times New Roman" w:hAnsi="Times New Roman" w:eastAsia="方正仿宋简体" w:cs="Times New Roman"/>
          <w:sz w:val="32"/>
          <w:szCs w:val="32"/>
          <w:lang w:val="en-US" w:eastAsia="zh-CN"/>
        </w:rPr>
        <w:t>75.02</w:t>
      </w:r>
      <w:bookmarkStart w:id="0" w:name="_GoBack"/>
      <w:bookmarkEnd w:id="0"/>
      <w:r>
        <w:rPr>
          <w:rFonts w:ascii="Times New Roman" w:hAnsi="Times New Roman" w:eastAsia="方正仿宋简体" w:cs="Times New Roman"/>
          <w:sz w:val="32"/>
          <w:szCs w:val="32"/>
        </w:rPr>
        <w:t>%，本项目支付手续合规、完整的项目资金到位率为100%，未实施项目资金占预算资金的33.16%。</w:t>
      </w:r>
    </w:p>
    <w:p>
      <w:pPr>
        <w:ind w:firstLine="627" w:firstLineChars="196"/>
        <w:rPr>
          <w:rFonts w:ascii="Times New Roman" w:hAnsi="Times New Roman" w:eastAsia="楷体_GB2312" w:cs="Times New Roman"/>
          <w:bCs/>
          <w:sz w:val="32"/>
          <w:szCs w:val="32"/>
        </w:rPr>
      </w:pPr>
      <w:r>
        <w:rPr>
          <w:rFonts w:ascii="Times New Roman" w:hAnsi="Times New Roman" w:eastAsia="楷体_GB2312" w:cs="Times New Roman"/>
          <w:bCs/>
          <w:sz w:val="32"/>
          <w:szCs w:val="32"/>
        </w:rPr>
        <w:t>（三）业务管理情况分析及评价</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为了保证项目快速、有效、合理的完成，除了预算资金小于20万元的项目依据财政有关规定无需实施</w:t>
      </w:r>
      <w:r>
        <w:rPr>
          <w:rFonts w:hint="eastAsia" w:ascii="Times New Roman" w:hAnsi="Times New Roman" w:eastAsia="方正仿宋简体" w:cs="Times New Roman"/>
          <w:sz w:val="32"/>
          <w:szCs w:val="32"/>
        </w:rPr>
        <w:t>政府采购</w:t>
      </w:r>
      <w:r>
        <w:rPr>
          <w:rFonts w:ascii="Times New Roman" w:hAnsi="Times New Roman" w:eastAsia="方正仿宋简体" w:cs="Times New Roman"/>
          <w:sz w:val="32"/>
          <w:szCs w:val="32"/>
        </w:rPr>
        <w:t>程序外，其他项目均进行了</w:t>
      </w:r>
      <w:r>
        <w:rPr>
          <w:rFonts w:hint="eastAsia" w:ascii="Times New Roman" w:hAnsi="Times New Roman" w:eastAsia="方正仿宋简体" w:cs="Times New Roman"/>
          <w:sz w:val="32"/>
          <w:szCs w:val="32"/>
        </w:rPr>
        <w:t>政府采购</w:t>
      </w:r>
      <w:r>
        <w:rPr>
          <w:rFonts w:ascii="Times New Roman" w:hAnsi="Times New Roman" w:eastAsia="方正仿宋简体" w:cs="Times New Roman"/>
          <w:sz w:val="32"/>
          <w:szCs w:val="32"/>
        </w:rPr>
        <w:t>程序，各个项目确认了实施单位。</w:t>
      </w:r>
    </w:p>
    <w:p>
      <w:pPr>
        <w:ind w:firstLine="560"/>
        <w:rPr>
          <w:rFonts w:ascii="Times New Roman" w:hAnsi="Times New Roman" w:eastAsia="方正仿宋简体" w:cs="Times New Roman"/>
          <w:sz w:val="32"/>
          <w:szCs w:val="32"/>
        </w:rPr>
      </w:pPr>
      <w:r>
        <w:rPr>
          <w:rFonts w:ascii="Times New Roman" w:hAnsi="Times New Roman" w:eastAsia="方正仿宋简体" w:cs="Times New Roman"/>
          <w:sz w:val="32"/>
          <w:szCs w:val="32"/>
        </w:rPr>
        <w:t>本项目资金收支全部由西青区文旅局单独建账管理，2018年西青旅游宣传营销项目基本按照国家规范和标准、预算计划执行， “西青城市旅游形象宣传片”项目根据合同约定已到验收期限，但由于拍摄要求需推迟验收时间，待评审通过后支付。本项目档案管理基本规范，但档案存在不完整的情况。</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1、招投标组织的实施</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2018年西青旅游宣传营销项目中对于预算资金大于等于20万元的项目依据</w:t>
      </w:r>
      <w:r>
        <w:rPr>
          <w:rFonts w:hint="eastAsia" w:ascii="Times New Roman" w:hAnsi="Times New Roman" w:eastAsia="方正仿宋简体" w:cs="Times New Roman"/>
          <w:sz w:val="32"/>
          <w:szCs w:val="32"/>
        </w:rPr>
        <w:t>政府采购相</w:t>
      </w:r>
      <w:r>
        <w:rPr>
          <w:rFonts w:ascii="Times New Roman" w:hAnsi="Times New Roman" w:eastAsia="方正仿宋简体" w:cs="Times New Roman"/>
          <w:sz w:val="32"/>
          <w:szCs w:val="32"/>
        </w:rPr>
        <w:t>关规定均实施了</w:t>
      </w:r>
      <w:r>
        <w:rPr>
          <w:rFonts w:hint="eastAsia" w:ascii="Times New Roman" w:hAnsi="Times New Roman" w:eastAsia="方正仿宋简体" w:cs="Times New Roman"/>
          <w:sz w:val="32"/>
          <w:szCs w:val="32"/>
        </w:rPr>
        <w:t>政府采购</w:t>
      </w:r>
      <w:r>
        <w:rPr>
          <w:rFonts w:ascii="Times New Roman" w:hAnsi="Times New Roman" w:eastAsia="方正仿宋简体" w:cs="Times New Roman"/>
          <w:sz w:val="32"/>
          <w:szCs w:val="32"/>
        </w:rPr>
        <w:t>程序</w:t>
      </w:r>
      <w:r>
        <w:rPr>
          <w:rFonts w:hint="eastAsia" w:ascii="Times New Roman" w:hAnsi="Times New Roman" w:eastAsia="方正仿宋简体" w:cs="Times New Roman"/>
          <w:sz w:val="32"/>
          <w:szCs w:val="32"/>
        </w:rPr>
        <w:t>。</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（1）“2018中国旅游产业博览会”项目委托华诚博远工程咨询有限公司负责组织实施招投标，中标单位为天津思远嘉捷广告有限公司</w:t>
      </w:r>
      <w:r>
        <w:rPr>
          <w:rFonts w:hint="eastAsia" w:ascii="Times New Roman" w:hAnsi="Times New Roman" w:eastAsia="方正仿宋简体" w:cs="Times New Roman"/>
          <w:sz w:val="32"/>
          <w:szCs w:val="32"/>
        </w:rPr>
        <w:t>。</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（2）“2018西青旅游购物季”项目委托天津市津广达造价咨询有限公司负责组织实施招投标，中标单位为天津市美翠文化传播有限公司</w:t>
      </w:r>
      <w:r>
        <w:rPr>
          <w:rFonts w:hint="eastAsia" w:ascii="Times New Roman" w:hAnsi="Times New Roman" w:eastAsia="方正仿宋简体" w:cs="Times New Roman"/>
          <w:sz w:val="32"/>
          <w:szCs w:val="32"/>
        </w:rPr>
        <w:t>。</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（3）“旅游宣传品制作费”项目与“印制户外挂牌、宣传展牌、文明旅游手册、文明旅游宣传彩页等”项目委托华诚博远工程咨询有限公司负责组织实施招投标，中标单位为天津涵峰印刷有限责任公司</w:t>
      </w:r>
      <w:r>
        <w:rPr>
          <w:rFonts w:hint="eastAsia" w:ascii="Times New Roman" w:hAnsi="Times New Roman" w:eastAsia="方正仿宋简体" w:cs="Times New Roman"/>
          <w:sz w:val="32"/>
          <w:szCs w:val="32"/>
        </w:rPr>
        <w:t>。</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（4）“西青城市旅游形象宣传片”项目委托天津恒建招标有限公司负责组织实施招投标，中标单位为天津德润文化传播有限公司</w:t>
      </w:r>
      <w:r>
        <w:rPr>
          <w:rFonts w:hint="eastAsia" w:ascii="Times New Roman" w:hAnsi="Times New Roman" w:eastAsia="方正仿宋简体" w:cs="Times New Roman"/>
          <w:sz w:val="32"/>
          <w:szCs w:val="32"/>
        </w:rPr>
        <w:t>。</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（5）“西青旅游网络运维”项目委托华诚博远工程咨询有限公司负责组织实施招投标，中标单位为青岛相智信息技术有限公司</w:t>
      </w:r>
      <w:r>
        <w:rPr>
          <w:rFonts w:hint="eastAsia" w:ascii="Times New Roman" w:hAnsi="Times New Roman" w:eastAsia="方正仿宋简体" w:cs="Times New Roman"/>
          <w:sz w:val="32"/>
          <w:szCs w:val="32"/>
        </w:rPr>
        <w:t>。</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（6）“西青旅游网提升改造”项目委托天津市西青区政府采购中心负责组织实施招投标，中标单位为人民网股份有限公司。</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2、业务管理</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我们在搜集、分析相关资料的基础上进行了现场走访，注意到本项目实施情况如下：</w:t>
      </w:r>
    </w:p>
    <w:p>
      <w:pPr>
        <w:ind w:firstLine="480" w:firstLineChars="150"/>
        <w:rPr>
          <w:rFonts w:ascii="Times New Roman" w:hAnsi="Times New Roman" w:eastAsia="方正仿宋简体" w:cs="Times New Roman"/>
          <w:sz w:val="32"/>
          <w:szCs w:val="32"/>
        </w:rPr>
      </w:pPr>
      <w:r>
        <w:rPr>
          <w:rFonts w:ascii="Times New Roman" w:hAnsi="Times New Roman" w:eastAsia="方正仿宋简体" w:cs="Times New Roman"/>
          <w:sz w:val="32"/>
          <w:szCs w:val="32"/>
        </w:rPr>
        <w:t>（1）“2018中国旅游产业博览会”项目、“旅游宣传推介”项目、“2018西青旅游购物季”项目、“第十五届杨柳青民俗文化旅游节”项目、“西青城市旅游形象宣传片”项目、“西青旅游网提升改造”项目、“西青全域旅游手绘电子导览图设计服务”项目均做了合同履约情况验收，由采购人与供应商出具了联合验收报告，均验收合格。</w:t>
      </w:r>
    </w:p>
    <w:p>
      <w:pPr>
        <w:ind w:firstLine="480" w:firstLineChars="150"/>
        <w:rPr>
          <w:rFonts w:ascii="Times New Roman" w:hAnsi="Times New Roman" w:eastAsia="方正仿宋简体" w:cs="Times New Roman"/>
          <w:sz w:val="32"/>
          <w:szCs w:val="32"/>
        </w:rPr>
      </w:pPr>
      <w:r>
        <w:rPr>
          <w:rFonts w:ascii="Times New Roman" w:hAnsi="Times New Roman" w:eastAsia="方正仿宋简体" w:cs="Times New Roman"/>
          <w:sz w:val="32"/>
          <w:szCs w:val="32"/>
        </w:rPr>
        <w:t>（2）“旅游宣传品制作费”项目与“印制户外挂牌、宣传展牌、文明旅游手册、文明旅游宣传彩页等”项目根据合同要求待验收合格后支付款项，截至2018年尚未进行最终验收，经查验相关资料上述两个项目已于2019年验收合格并支付了合同款；“西青旅游网络运维”项目根据合同的相关规定，需要网络运行1年后支付合同款，截至2018年尚未进行最终验收。</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（3）“西青城市旅游形象宣传片”项目根据合同约定已到验收期限，但由于拍摄要求需推迟验收时间，待评审通过后支付合同余款。</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（4）“天津城市宣传片（央视广告）费”由于是全市统一实施项目，目前全市尚未实施。</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2018年西青旅游宣传营销项目各个项目基本做到了及时归档工作，个别项目缺少后期的总结及自评归档，如：“旅游宣传推介”项目、“2018西青旅游购物季”项目等。</w:t>
      </w:r>
    </w:p>
    <w:p>
      <w:pPr>
        <w:ind w:firstLine="627" w:firstLineChars="196"/>
        <w:jc w:val="left"/>
        <w:rPr>
          <w:rFonts w:ascii="Times New Roman" w:hAnsi="Times New Roman" w:eastAsia="楷体_GB2312" w:cs="Times New Roman"/>
          <w:bCs/>
          <w:sz w:val="32"/>
          <w:szCs w:val="32"/>
        </w:rPr>
      </w:pPr>
      <w:r>
        <w:rPr>
          <w:rFonts w:ascii="Times New Roman" w:hAnsi="Times New Roman" w:eastAsia="楷体_GB2312" w:cs="Times New Roman"/>
          <w:bCs/>
          <w:sz w:val="32"/>
          <w:szCs w:val="32"/>
        </w:rPr>
        <w:t>(四)财务管理情况分析及评价</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1、财务管理制度健全性及财务监控有效性</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2018年西青旅游宣传营销项目是“西青区文旅局”2018年度预算执行项目，其财务收支制度统一遵循“西青区文旅局”财务管理制度。“西青区文旅局”财务管理上对2018年西青旅游宣传营销项目单独设置明细账户进行管理，对于大额合同支出向区财政局申请资金由区财政局直接支付后同步会计记录，对于小额支出由“西青区文旅局”直接通过其银行存款账户支付。其财务管理制度健全、财务监控有效。</w:t>
      </w:r>
    </w:p>
    <w:p>
      <w:pPr>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2、资金使用的合规性</w:t>
      </w:r>
    </w:p>
    <w:p>
      <w:pPr>
        <w:rPr>
          <w:rFonts w:ascii="Times New Roman" w:hAnsi="Times New Roman" w:eastAsia="方正仿宋简体" w:cs="Times New Roman"/>
          <w:sz w:val="32"/>
          <w:szCs w:val="32"/>
        </w:rPr>
      </w:pPr>
      <w:r>
        <w:rPr>
          <w:rFonts w:ascii="Times New Roman" w:hAnsi="Times New Roman" w:eastAsia="方正仿宋简体" w:cs="Times New Roman"/>
          <w:sz w:val="32"/>
          <w:szCs w:val="32"/>
        </w:rPr>
        <w:t xml:space="preserve">    本项目各个分项目实施应支付资金合计为7,832,961.50元，已经支付 5,876,361.50元。</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经现场审核，我们没有发现有资金使用不合规的情况。</w:t>
      </w:r>
    </w:p>
    <w:p>
      <w:pPr>
        <w:ind w:right="281" w:rightChars="134" w:firstLine="640" w:firstLineChars="200"/>
        <w:rPr>
          <w:rFonts w:ascii="Times New Roman" w:hAnsi="Times New Roman" w:eastAsia="楷体_GB2312" w:cs="Times New Roman"/>
          <w:sz w:val="32"/>
          <w:szCs w:val="32"/>
        </w:rPr>
      </w:pPr>
      <w:r>
        <w:rPr>
          <w:rFonts w:ascii="Times New Roman" w:hAnsi="Times New Roman" w:eastAsia="楷体_GB2312" w:cs="Times New Roman"/>
          <w:bCs/>
          <w:sz w:val="32"/>
          <w:szCs w:val="32"/>
        </w:rPr>
        <w:t>（五）项目产出情况分析及评价</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1、项目实际完成情况分析</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2018年西青旅游宣传营销项目计划主要从“国内外宣传推介”项目、“节庆活动”项目、“旅游宣传品制作与媒体宣传”项目以及“旅游网络营销（网络运维、旅游网提升改造）”项目等四大方面开展宣传营销工作，预算总投入金额 1,206.18万元，实施项目应支付资金7,832,961.50元，实际已支付资金5,876,361.50元。</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2018年西青旅游宣传营销项目实际完成情况如下：</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（1）“国内外宣传推介”项目</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本项目包括“2018中国旅游产业博览会”项目、“参加国内外旅游交易会”项目、“旅游宣传推介”项目等三个项目，均已完成并取得合同履行情况验收报告，验收合格。本项目实施合计支付资金709,701.50元。</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（2）“节庆活动”项目</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本项目包括“2018西青旅游购物季”、“第十五届杨柳青民俗文化旅游节”等二个项目，均已完成，并取得合同履行情况验收报告，验收合格。本项目实施合计支付资金2,954,860.00元。</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（3）“旅游宣传品制作与媒体宣传”项目</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本项目中除“天津城市宣传片（央视广告）费”项目需要全市统一实施未完成外其他项目均已完成，本项目实施合计已支付资金880,000.00元。其中：</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fldChar w:fldCharType="begin"/>
      </w:r>
      <w:r>
        <w:rPr>
          <w:rFonts w:ascii="Times New Roman" w:hAnsi="Times New Roman" w:eastAsia="方正仿宋简体" w:cs="Times New Roman"/>
          <w:sz w:val="32"/>
          <w:szCs w:val="32"/>
        </w:rPr>
        <w:instrText xml:space="preserve">= 1 \* GB3</w:instrText>
      </w:r>
      <w:r>
        <w:rPr>
          <w:rFonts w:ascii="Times New Roman" w:hAnsi="Times New Roman" w:eastAsia="方正仿宋简体" w:cs="Times New Roman"/>
          <w:sz w:val="32"/>
          <w:szCs w:val="32"/>
        </w:rPr>
        <w:fldChar w:fldCharType="separate"/>
      </w:r>
      <w:r>
        <w:rPr>
          <w:rFonts w:ascii="Times New Roman" w:hAnsi="Times New Roman" w:eastAsia="方正仿宋简体" w:cs="Times New Roman"/>
          <w:sz w:val="32"/>
          <w:szCs w:val="32"/>
        </w:rPr>
        <w:t>①</w:t>
      </w:r>
      <w:r>
        <w:rPr>
          <w:rFonts w:ascii="Times New Roman" w:hAnsi="Times New Roman" w:eastAsia="方正仿宋简体" w:cs="Times New Roman"/>
          <w:sz w:val="32"/>
          <w:szCs w:val="32"/>
        </w:rPr>
        <w:fldChar w:fldCharType="end"/>
      </w:r>
      <w:r>
        <w:rPr>
          <w:rFonts w:ascii="Times New Roman" w:hAnsi="Times New Roman" w:eastAsia="方正仿宋简体" w:cs="Times New Roman"/>
          <w:sz w:val="32"/>
          <w:szCs w:val="32"/>
        </w:rPr>
        <w:t>“旅游宣传品制作费”项目与“印制户外挂牌、宣传展牌、文明旅游手册、文明旅游宣传彩页等”项目合并统一通过华诚博远工程咨询有限公司进行招投标，由天津涵峰印刷有限责任公司予以实施，并且实施完毕，根据合同规定尚未进行最终验收，款项尚未予以支付。</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fldChar w:fldCharType="begin"/>
      </w:r>
      <w:r>
        <w:rPr>
          <w:rFonts w:ascii="Times New Roman" w:hAnsi="Times New Roman" w:eastAsia="方正仿宋简体" w:cs="Times New Roman"/>
          <w:sz w:val="32"/>
          <w:szCs w:val="32"/>
        </w:rPr>
        <w:instrText xml:space="preserve">= 2 \* GB3</w:instrText>
      </w:r>
      <w:r>
        <w:rPr>
          <w:rFonts w:ascii="Times New Roman" w:hAnsi="Times New Roman" w:eastAsia="方正仿宋简体" w:cs="Times New Roman"/>
          <w:sz w:val="32"/>
          <w:szCs w:val="32"/>
        </w:rPr>
        <w:fldChar w:fldCharType="separate"/>
      </w:r>
      <w:r>
        <w:rPr>
          <w:rFonts w:ascii="Times New Roman" w:hAnsi="Times New Roman" w:eastAsia="方正仿宋简体" w:cs="Times New Roman"/>
          <w:sz w:val="32"/>
          <w:szCs w:val="32"/>
        </w:rPr>
        <w:t>②</w:t>
      </w:r>
      <w:r>
        <w:rPr>
          <w:rFonts w:ascii="Times New Roman" w:hAnsi="Times New Roman" w:eastAsia="方正仿宋简体" w:cs="Times New Roman"/>
          <w:sz w:val="32"/>
          <w:szCs w:val="32"/>
        </w:rPr>
        <w:fldChar w:fldCharType="end"/>
      </w:r>
      <w:r>
        <w:rPr>
          <w:rFonts w:ascii="Times New Roman" w:hAnsi="Times New Roman" w:eastAsia="方正仿宋简体" w:cs="Times New Roman"/>
          <w:sz w:val="32"/>
          <w:szCs w:val="32"/>
        </w:rPr>
        <w:t>“天津日报旅游专版合作费”项目已实施完成，已支付资金100,000.00元。</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fldChar w:fldCharType="begin"/>
      </w:r>
      <w:r>
        <w:rPr>
          <w:rFonts w:ascii="Times New Roman" w:hAnsi="Times New Roman" w:eastAsia="方正仿宋简体" w:cs="Times New Roman"/>
          <w:sz w:val="32"/>
          <w:szCs w:val="32"/>
        </w:rPr>
        <w:instrText xml:space="preserve">= 3 \* GB3</w:instrText>
      </w:r>
      <w:r>
        <w:rPr>
          <w:rFonts w:ascii="Times New Roman" w:hAnsi="Times New Roman" w:eastAsia="方正仿宋简体" w:cs="Times New Roman"/>
          <w:sz w:val="32"/>
          <w:szCs w:val="32"/>
        </w:rPr>
        <w:fldChar w:fldCharType="separate"/>
      </w:r>
      <w:r>
        <w:rPr>
          <w:rFonts w:ascii="Times New Roman" w:hAnsi="Times New Roman" w:eastAsia="方正仿宋简体" w:cs="Times New Roman"/>
          <w:sz w:val="32"/>
          <w:szCs w:val="32"/>
        </w:rPr>
        <w:t>③</w:t>
      </w:r>
      <w:r>
        <w:rPr>
          <w:rFonts w:ascii="Times New Roman" w:hAnsi="Times New Roman" w:eastAsia="方正仿宋简体" w:cs="Times New Roman"/>
          <w:sz w:val="32"/>
          <w:szCs w:val="32"/>
        </w:rPr>
        <w:fldChar w:fldCharType="end"/>
      </w:r>
      <w:r>
        <w:rPr>
          <w:rFonts w:ascii="Times New Roman" w:hAnsi="Times New Roman" w:eastAsia="方正仿宋简体" w:cs="Times New Roman"/>
          <w:sz w:val="32"/>
          <w:szCs w:val="32"/>
        </w:rPr>
        <w:t>“西青城市旅游形象宣传片”项目通过天津恒建招标有限公司进行招投标，由天津德润文化传播有限公司予以实施，已实施完成，本项目实施已支付资金780,000.00元，按照合同规定40%中期款应于2018年12月1日前支付，目前该款项尚未支付，待延期验收合格后统一进行支付。</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（4）“旅游网络营销（网络运维、旅游网提升改造）”项目：包括“西青旅游网络运维”项目、“西青旅游网提升改造”项目及“西青全域旅游手绘电子导览图设计服务”项目等三个项目，其中：</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fldChar w:fldCharType="begin"/>
      </w:r>
      <w:r>
        <w:rPr>
          <w:rFonts w:ascii="Times New Roman" w:hAnsi="Times New Roman" w:eastAsia="方正仿宋简体" w:cs="Times New Roman"/>
          <w:sz w:val="32"/>
          <w:szCs w:val="32"/>
        </w:rPr>
        <w:instrText xml:space="preserve">= 1 \* GB3</w:instrText>
      </w:r>
      <w:r>
        <w:rPr>
          <w:rFonts w:ascii="Times New Roman" w:hAnsi="Times New Roman" w:eastAsia="方正仿宋简体" w:cs="Times New Roman"/>
          <w:sz w:val="32"/>
          <w:szCs w:val="32"/>
        </w:rPr>
        <w:fldChar w:fldCharType="separate"/>
      </w:r>
      <w:r>
        <w:rPr>
          <w:rFonts w:ascii="Times New Roman" w:hAnsi="Times New Roman" w:eastAsia="方正仿宋简体" w:cs="Times New Roman"/>
          <w:sz w:val="32"/>
          <w:szCs w:val="32"/>
        </w:rPr>
        <w:t>①</w:t>
      </w:r>
      <w:r>
        <w:rPr>
          <w:rFonts w:ascii="Times New Roman" w:hAnsi="Times New Roman" w:eastAsia="方正仿宋简体" w:cs="Times New Roman"/>
          <w:sz w:val="32"/>
          <w:szCs w:val="32"/>
        </w:rPr>
        <w:fldChar w:fldCharType="end"/>
      </w:r>
      <w:r>
        <w:rPr>
          <w:rFonts w:ascii="Times New Roman" w:hAnsi="Times New Roman" w:eastAsia="方正仿宋简体" w:cs="Times New Roman"/>
          <w:sz w:val="32"/>
          <w:szCs w:val="32"/>
        </w:rPr>
        <w:t>“西青旅游网络运维”项目通过华诚博远工程咨询有限公司进行招投标，由青岛相智信息技术有限公司予以实施，并且实施完毕，尚未进行最终验收，款项尚未支付。</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fldChar w:fldCharType="begin"/>
      </w:r>
      <w:r>
        <w:rPr>
          <w:rFonts w:ascii="Times New Roman" w:hAnsi="Times New Roman" w:eastAsia="方正仿宋简体" w:cs="Times New Roman"/>
          <w:sz w:val="32"/>
          <w:szCs w:val="32"/>
        </w:rPr>
        <w:instrText xml:space="preserve">= 2 \* GB3</w:instrText>
      </w:r>
      <w:r>
        <w:rPr>
          <w:rFonts w:ascii="Times New Roman" w:hAnsi="Times New Roman" w:eastAsia="方正仿宋简体" w:cs="Times New Roman"/>
          <w:sz w:val="32"/>
          <w:szCs w:val="32"/>
        </w:rPr>
        <w:fldChar w:fldCharType="separate"/>
      </w:r>
      <w:r>
        <w:rPr>
          <w:rFonts w:ascii="Times New Roman" w:hAnsi="Times New Roman" w:eastAsia="方正仿宋简体" w:cs="Times New Roman"/>
          <w:sz w:val="32"/>
          <w:szCs w:val="32"/>
        </w:rPr>
        <w:t>②</w:t>
      </w:r>
      <w:r>
        <w:rPr>
          <w:rFonts w:ascii="Times New Roman" w:hAnsi="Times New Roman" w:eastAsia="方正仿宋简体" w:cs="Times New Roman"/>
          <w:sz w:val="32"/>
          <w:szCs w:val="32"/>
        </w:rPr>
        <w:fldChar w:fldCharType="end"/>
      </w:r>
      <w:r>
        <w:rPr>
          <w:rFonts w:ascii="Times New Roman" w:hAnsi="Times New Roman" w:eastAsia="方正仿宋简体" w:cs="Times New Roman"/>
          <w:sz w:val="32"/>
          <w:szCs w:val="32"/>
        </w:rPr>
        <w:t>“西青旅游网提升改造”项目通过天津市西青区政府采购中心进行招投标，由人民网股份有限公司予以实施，并且实施完毕，已经取得合同履行情况验收报告，验收合格，本项目实施已支付资金1,237,000.00元。</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fldChar w:fldCharType="begin"/>
      </w:r>
      <w:r>
        <w:rPr>
          <w:rFonts w:ascii="Times New Roman" w:hAnsi="Times New Roman" w:eastAsia="方正仿宋简体" w:cs="Times New Roman"/>
          <w:sz w:val="32"/>
          <w:szCs w:val="32"/>
        </w:rPr>
        <w:instrText xml:space="preserve">= 3 \* GB3</w:instrText>
      </w:r>
      <w:r>
        <w:rPr>
          <w:rFonts w:ascii="Times New Roman" w:hAnsi="Times New Roman" w:eastAsia="方正仿宋简体" w:cs="Times New Roman"/>
          <w:sz w:val="32"/>
          <w:szCs w:val="32"/>
        </w:rPr>
        <w:fldChar w:fldCharType="separate"/>
      </w:r>
      <w:r>
        <w:rPr>
          <w:rFonts w:ascii="Times New Roman" w:hAnsi="Times New Roman" w:eastAsia="方正仿宋简体" w:cs="Times New Roman"/>
          <w:sz w:val="32"/>
          <w:szCs w:val="32"/>
        </w:rPr>
        <w:t>③</w:t>
      </w:r>
      <w:r>
        <w:rPr>
          <w:rFonts w:ascii="Times New Roman" w:hAnsi="Times New Roman" w:eastAsia="方正仿宋简体" w:cs="Times New Roman"/>
          <w:sz w:val="32"/>
          <w:szCs w:val="32"/>
        </w:rPr>
        <w:fldChar w:fldCharType="end"/>
      </w:r>
      <w:r>
        <w:rPr>
          <w:rFonts w:ascii="Times New Roman" w:hAnsi="Times New Roman" w:eastAsia="方正仿宋简体" w:cs="Times New Roman"/>
          <w:sz w:val="32"/>
          <w:szCs w:val="32"/>
        </w:rPr>
        <w:t>“西青全域旅游手绘电子导览图设计服务”项目由广州市驴迹科技有限责任公司予以实施，已经完成并取得合同履行情况验收报告，验收合格，本项目实施已支付资金94,800.00元。</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2、项目完成及时率分析</w:t>
      </w:r>
    </w:p>
    <w:p>
      <w:pPr>
        <w:ind w:right="281" w:rightChars="134" w:firstLine="640" w:firstLineChars="200"/>
        <w:rPr>
          <w:rFonts w:ascii="Times New Roman" w:hAnsi="Times New Roman" w:eastAsia="方正仿宋简体" w:cs="Times New Roman"/>
          <w:color w:val="FF0000"/>
          <w:sz w:val="32"/>
          <w:szCs w:val="32"/>
        </w:rPr>
      </w:pPr>
      <w:r>
        <w:rPr>
          <w:rFonts w:ascii="Times New Roman" w:hAnsi="Times New Roman" w:eastAsia="方正仿宋简体" w:cs="Times New Roman"/>
          <w:sz w:val="32"/>
          <w:szCs w:val="32"/>
        </w:rPr>
        <w:t>2018年西青旅游宣传营销项目财政预算资金为1,206.18万元，本项目根据各项目合同签订、履约情况及验收报告反映：剔除“天津城市宣传片（央视广告）费”项目由于全市统一实施而未予以实施的400万元因素外，项目实施应支付资金合计为7,832,961.50元，占预算资金的64.94%，资金实际到位 5,876,361.50 元。</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除“天津城市宣传片（央视广告）费”项目由于全市统一实施而未予以实施外，由于“西青城市旅游形象宣传片”项目延期验收，所以尚未完成支付手续。</w:t>
      </w:r>
    </w:p>
    <w:p>
      <w:pPr>
        <w:spacing w:line="324" w:lineRule="auto"/>
        <w:ind w:right="281" w:rightChars="134" w:firstLine="627" w:firstLineChars="196"/>
        <w:rPr>
          <w:rFonts w:ascii="Times New Roman" w:hAnsi="Times New Roman" w:eastAsia="楷体_GB2312" w:cs="Times New Roman"/>
          <w:bCs/>
          <w:sz w:val="32"/>
          <w:szCs w:val="32"/>
        </w:rPr>
      </w:pPr>
      <w:r>
        <w:rPr>
          <w:rFonts w:ascii="Times New Roman" w:hAnsi="Times New Roman" w:eastAsia="楷体_GB2312" w:cs="Times New Roman"/>
          <w:bCs/>
          <w:sz w:val="32"/>
          <w:szCs w:val="32"/>
        </w:rPr>
        <w:t>（六）项目效益情况分析及评价</w:t>
      </w:r>
    </w:p>
    <w:p>
      <w:pPr>
        <w:spacing w:line="324" w:lineRule="auto"/>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1、社会效益</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经“西青区文旅局”统计2018年度，西青区共接待游客3,885.65万人次，实现收入20.34亿元，同比分别增长30.63%和32.73%。</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（1）坚持市场导向，旅游产品供给更加充足</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举办了第十五届西青民俗文化旅游节、2018天津西青休闲旅游购物季，以及津武荣耀2018天津霍元甲国际武术旅游节等大型节庆活动，累计推出节庆优惠活动121项，满足了游客出行需求，扩大了旅游消费。品牌形象更加突出，通过请进来、走出去，深耕京津冀旅游市场，在邢台、丰台、滨州等地举办了3场专题旅游推介会，组织开展了2018京津冀媒体旅行社看西青，组织参加2018中国旅游产业博览会等重点展会，累计开展宣传促销活动10次，组团参加旅游展会7次。品牌知名度明显提升，拍摄了新版的西青城市旅游形象宣传片。通过投放广告、走进直播间、软文推广等形式，在京津冀、高铁沿线城市开展持续宣传，效果逐步显现。</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（2）创新宣传营销，扩大旅游品牌影响力</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塑造“一文一武一花乡”城市品牌形象。举办了中国杨柳青木版年画节、津武荣耀天津霍元甲国际武术旅游节等市级重点活动，创新开展现象论坛，不断丰富活动内容，加快树立品牌形象。开展了第一届百年花乡运河文化节、中华武林园民俗庙会、5.19中国旅游日等区级重点活动，鼓励街镇、企业因地制宜，打造主题鲜明的旅游节庆和体验活动。加大新版西青城市旅游宣传片在京津冀以及高铁沿线城市投放力度，用好西青旅游网、抖音、微博、微信等平台，增加粉丝量、关注度，提高信息质量，营造良好的宣传营销环境。</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（3）拓宽宣传营销渠道</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编制实施年度营销方案，加强数据分析，创新营销推广方式，开展全媒体精准营销，扩大品牌影响力。深耕京津冀旅游市场，在京津冀、高铁沿线重点城市开展好民俗西青系列专题推介会，举办好京津冀媒体看西青等宣传促销活动，做好品牌形象推广。推动文旅演出《武传奇之霍元甲》的国内外营销推广。提升基层营销参展能力，组织参加中国国际旅游交易会、中国旅游产业博览会等国内有规模、有代表性的旅游展会，扩大宣传、加强交流，使西青旅游形象更加深入人心。</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（4）强化旅游区域合作</w:t>
      </w:r>
    </w:p>
    <w:p>
      <w:pPr>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落实旅游对口帮扶，对接河北平泉、甘肃麦积、景泰，跟踪专项扶持资金使用，加强宣传营销、人才培训等方面合作，推动开通旅游专列、包机，确保实现旅游帮扶目标。</w:t>
      </w:r>
    </w:p>
    <w:p>
      <w:pPr>
        <w:spacing w:line="324" w:lineRule="auto"/>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2、社会调查问卷情况</w:t>
      </w:r>
    </w:p>
    <w:p>
      <w:pPr>
        <w:spacing w:line="324" w:lineRule="auto"/>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我们针对2018年西青旅游宣传营销项目设计了社会调查问卷，对西青区各个旅游景点随机进行了社会调查，回收有效问卷98份，对于西青区旅游宣传认可的比例达到78.57%。</w:t>
      </w:r>
    </w:p>
    <w:p>
      <w:pPr>
        <w:spacing w:line="324" w:lineRule="auto"/>
        <w:ind w:firstLine="570"/>
        <w:jc w:val="left"/>
        <w:rPr>
          <w:rFonts w:ascii="Times New Roman" w:hAnsi="Times New Roman" w:eastAsia="黑体" w:cs="Times New Roman"/>
          <w:sz w:val="32"/>
          <w:szCs w:val="32"/>
        </w:rPr>
      </w:pPr>
      <w:r>
        <w:rPr>
          <w:rFonts w:ascii="Times New Roman" w:hAnsi="Times New Roman" w:eastAsia="黑体" w:cs="Times New Roman"/>
          <w:sz w:val="32"/>
          <w:szCs w:val="32"/>
        </w:rPr>
        <w:t>四、存在问题及原因分析</w:t>
      </w:r>
    </w:p>
    <w:p>
      <w:pPr>
        <w:spacing w:line="324" w:lineRule="auto"/>
        <w:ind w:right="281" w:rightChars="134" w:firstLine="470" w:firstLineChars="147"/>
        <w:rPr>
          <w:rFonts w:ascii="Times New Roman" w:hAnsi="Times New Roman" w:eastAsia="楷体_GB2312" w:cs="Times New Roman"/>
          <w:sz w:val="32"/>
          <w:szCs w:val="32"/>
        </w:rPr>
      </w:pPr>
      <w:r>
        <w:rPr>
          <w:rFonts w:ascii="Times New Roman" w:hAnsi="Times New Roman" w:eastAsia="楷体_GB2312" w:cs="Times New Roman"/>
          <w:bCs/>
          <w:sz w:val="32"/>
          <w:szCs w:val="32"/>
        </w:rPr>
        <w:t>（一）</w:t>
      </w:r>
      <w:r>
        <w:rPr>
          <w:rFonts w:ascii="Times New Roman" w:hAnsi="Times New Roman" w:eastAsia="楷体_GB2312" w:cs="Times New Roman"/>
          <w:sz w:val="32"/>
          <w:szCs w:val="32"/>
        </w:rPr>
        <w:t>个别项目未能及时实施、存在延期验收的情况</w:t>
      </w:r>
    </w:p>
    <w:p>
      <w:pPr>
        <w:spacing w:line="324" w:lineRule="auto"/>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2018年西青旅游宣传营销项目中“天津城市宣传片（央视广告）费”项目由于是全市统一项目而尚未实施；“西青城市旅游形象宣传片”项目根据合同约定已到验收期限，但由于拍摄要求需推迟验收时间，待评审通过后支付合同余款。</w:t>
      </w:r>
    </w:p>
    <w:p>
      <w:pPr>
        <w:spacing w:line="324" w:lineRule="auto"/>
        <w:ind w:right="281" w:rightChars="134" w:firstLine="480" w:firstLineChars="150"/>
        <w:rPr>
          <w:rFonts w:ascii="Times New Roman" w:hAnsi="Times New Roman" w:eastAsia="楷体_GB2312" w:cs="Times New Roman"/>
          <w:sz w:val="32"/>
          <w:szCs w:val="32"/>
        </w:rPr>
      </w:pPr>
      <w:r>
        <w:rPr>
          <w:rFonts w:ascii="Times New Roman" w:hAnsi="Times New Roman" w:eastAsia="楷体_GB2312" w:cs="Times New Roman"/>
          <w:sz w:val="32"/>
          <w:szCs w:val="32"/>
        </w:rPr>
        <w:t>（二）个别项目档案管理不完整的情况</w:t>
      </w:r>
    </w:p>
    <w:p>
      <w:pPr>
        <w:spacing w:line="324" w:lineRule="auto"/>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2018年西青旅游宣传营销项目中个别项目缺少事后总结及自评归档工作，如：“旅游宣传推介”项目、“2018西青旅游购物季”项目等。</w:t>
      </w:r>
    </w:p>
    <w:p>
      <w:pPr>
        <w:spacing w:line="324" w:lineRule="auto"/>
        <w:ind w:firstLine="570"/>
        <w:jc w:val="left"/>
        <w:rPr>
          <w:rFonts w:ascii="Times New Roman" w:hAnsi="Times New Roman" w:eastAsia="黑体" w:cs="Times New Roman"/>
          <w:sz w:val="32"/>
          <w:szCs w:val="32"/>
        </w:rPr>
      </w:pPr>
      <w:r>
        <w:rPr>
          <w:rFonts w:ascii="Times New Roman" w:hAnsi="Times New Roman" w:eastAsia="黑体" w:cs="Times New Roman"/>
          <w:sz w:val="32"/>
          <w:szCs w:val="32"/>
        </w:rPr>
        <w:t>五、评价结论及建议</w:t>
      </w:r>
    </w:p>
    <w:p>
      <w:pPr>
        <w:spacing w:line="324" w:lineRule="auto"/>
        <w:ind w:firstLine="570"/>
        <w:jc w:val="left"/>
        <w:rPr>
          <w:rFonts w:ascii="Times New Roman" w:hAnsi="Times New Roman" w:eastAsia="楷体_GB2312" w:cs="Times New Roman"/>
          <w:sz w:val="32"/>
          <w:szCs w:val="32"/>
        </w:rPr>
      </w:pPr>
      <w:r>
        <w:rPr>
          <w:rFonts w:ascii="Times New Roman" w:hAnsi="Times New Roman" w:eastAsia="楷体_GB2312" w:cs="Times New Roman"/>
          <w:sz w:val="32"/>
          <w:szCs w:val="32"/>
        </w:rPr>
        <w:t>（一）评价结论</w:t>
      </w:r>
    </w:p>
    <w:p>
      <w:pPr>
        <w:spacing w:line="324" w:lineRule="auto"/>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根据《2018年西青旅游宣传营销项目绩效评价指标评分表》的最终总得分</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可以用来综合判断本项目的绩效情况，即评价得分在90-100分为“优秀”，75-90分为“良好”，60-75分为“一般”，0-60分为“较差”。本项目综合总得分80.50分，评价结论为“良好”。</w:t>
      </w:r>
    </w:p>
    <w:p>
      <w:pPr>
        <w:spacing w:line="324" w:lineRule="auto"/>
        <w:ind w:right="281" w:rightChars="134"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（二）相关建议</w:t>
      </w:r>
    </w:p>
    <w:p>
      <w:pPr>
        <w:spacing w:line="324" w:lineRule="auto"/>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1、项目实施单位应加强对项目管理，严格执行预算计划，按期完成全部项目并及时对项目完成验收、结算工作。</w:t>
      </w:r>
    </w:p>
    <w:p>
      <w:pPr>
        <w:spacing w:line="324" w:lineRule="auto"/>
        <w:ind w:right="281" w:rightChars="134"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2、项目实施单位应加强对项目管理制度的执行，及时完整的完成全部档案的归档工作。</w:t>
      </w:r>
    </w:p>
    <w:p>
      <w:pPr>
        <w:spacing w:line="324" w:lineRule="auto"/>
        <w:ind w:right="281" w:rightChars="134"/>
        <w:rPr>
          <w:rFonts w:ascii="Times New Roman" w:hAnsi="Times New Roman" w:eastAsia="方正仿宋简体" w:cs="Times New Roman"/>
          <w:sz w:val="32"/>
          <w:szCs w:val="32"/>
        </w:rPr>
      </w:pPr>
    </w:p>
    <w:sectPr>
      <w:footerReference r:id="rId3" w:type="default"/>
      <w:pgSz w:w="11906" w:h="16838"/>
      <w:pgMar w:top="1440" w:right="1133" w:bottom="1440" w:left="1985"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1</w:t>
    </w:r>
    <w:r>
      <w:rPr>
        <w:lang w:val="zh-CN"/>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7E7E75"/>
    <w:multiLevelType w:val="singleLevel"/>
    <w:tmpl w:val="227E7E75"/>
    <w:lvl w:ilvl="0" w:tentative="0">
      <w:start w:val="2"/>
      <w:numFmt w:val="chineseCounting"/>
      <w:suff w:val="nothing"/>
      <w:lvlText w:val="（%1）"/>
      <w:lvlJc w:val="left"/>
      <w:pPr>
        <w:ind w:left="981" w:firstLine="0"/>
      </w:pPr>
      <w:rPr>
        <w:rFonts w:hint="eastAsia"/>
      </w:rPr>
    </w:lvl>
  </w:abstractNum>
  <w:abstractNum w:abstractNumId="1">
    <w:nsid w:val="2F4AD3FF"/>
    <w:multiLevelType w:val="singleLevel"/>
    <w:tmpl w:val="2F4AD3FF"/>
    <w:lvl w:ilvl="0" w:tentative="0">
      <w:start w:val="4"/>
      <w:numFmt w:val="decimal"/>
      <w:suff w:val="nothing"/>
      <w:lvlText w:val="%1、"/>
      <w:lvlJc w:val="left"/>
    </w:lvl>
  </w:abstractNum>
  <w:abstractNum w:abstractNumId="2">
    <w:nsid w:val="744BAC7F"/>
    <w:multiLevelType w:val="singleLevel"/>
    <w:tmpl w:val="744BAC7F"/>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41F4"/>
    <w:rsid w:val="00001A49"/>
    <w:rsid w:val="00001FAA"/>
    <w:rsid w:val="00003269"/>
    <w:rsid w:val="0000433E"/>
    <w:rsid w:val="00010CB2"/>
    <w:rsid w:val="00011F46"/>
    <w:rsid w:val="00012352"/>
    <w:rsid w:val="00016E65"/>
    <w:rsid w:val="00021167"/>
    <w:rsid w:val="0002360F"/>
    <w:rsid w:val="00024F9E"/>
    <w:rsid w:val="0002579B"/>
    <w:rsid w:val="00025CF2"/>
    <w:rsid w:val="00025EA2"/>
    <w:rsid w:val="00026F9B"/>
    <w:rsid w:val="0003135A"/>
    <w:rsid w:val="00032772"/>
    <w:rsid w:val="00032C1A"/>
    <w:rsid w:val="00034DE2"/>
    <w:rsid w:val="00035C13"/>
    <w:rsid w:val="00041D1F"/>
    <w:rsid w:val="00046ED2"/>
    <w:rsid w:val="00047A97"/>
    <w:rsid w:val="000505D3"/>
    <w:rsid w:val="00051DE0"/>
    <w:rsid w:val="00052147"/>
    <w:rsid w:val="00055631"/>
    <w:rsid w:val="00055693"/>
    <w:rsid w:val="000561A5"/>
    <w:rsid w:val="00063D14"/>
    <w:rsid w:val="00063DCF"/>
    <w:rsid w:val="000640C5"/>
    <w:rsid w:val="00067503"/>
    <w:rsid w:val="00071322"/>
    <w:rsid w:val="00072565"/>
    <w:rsid w:val="0007328E"/>
    <w:rsid w:val="000735E7"/>
    <w:rsid w:val="000740F4"/>
    <w:rsid w:val="00074F2E"/>
    <w:rsid w:val="000805DA"/>
    <w:rsid w:val="00081055"/>
    <w:rsid w:val="00081366"/>
    <w:rsid w:val="000845E5"/>
    <w:rsid w:val="00084EC9"/>
    <w:rsid w:val="00090BEA"/>
    <w:rsid w:val="000911DC"/>
    <w:rsid w:val="000917EA"/>
    <w:rsid w:val="0009199A"/>
    <w:rsid w:val="00091BC3"/>
    <w:rsid w:val="00093981"/>
    <w:rsid w:val="0009549E"/>
    <w:rsid w:val="0009729C"/>
    <w:rsid w:val="000A11BD"/>
    <w:rsid w:val="000A254E"/>
    <w:rsid w:val="000A4A94"/>
    <w:rsid w:val="000B06DB"/>
    <w:rsid w:val="000B4E2E"/>
    <w:rsid w:val="000B4EDA"/>
    <w:rsid w:val="000B511D"/>
    <w:rsid w:val="000B5718"/>
    <w:rsid w:val="000B5D29"/>
    <w:rsid w:val="000B66C3"/>
    <w:rsid w:val="000C3B5D"/>
    <w:rsid w:val="000C5D01"/>
    <w:rsid w:val="000C62D6"/>
    <w:rsid w:val="000D0026"/>
    <w:rsid w:val="000D4F03"/>
    <w:rsid w:val="000D5157"/>
    <w:rsid w:val="000D6B47"/>
    <w:rsid w:val="000D7E94"/>
    <w:rsid w:val="000E26C0"/>
    <w:rsid w:val="000E4DCB"/>
    <w:rsid w:val="000E505B"/>
    <w:rsid w:val="000E6C3C"/>
    <w:rsid w:val="000E6E19"/>
    <w:rsid w:val="000E7073"/>
    <w:rsid w:val="000F0029"/>
    <w:rsid w:val="000F10B0"/>
    <w:rsid w:val="000F1BDB"/>
    <w:rsid w:val="000F262F"/>
    <w:rsid w:val="000F2853"/>
    <w:rsid w:val="000F3024"/>
    <w:rsid w:val="000F3737"/>
    <w:rsid w:val="000F6EAE"/>
    <w:rsid w:val="00100AD4"/>
    <w:rsid w:val="0010687A"/>
    <w:rsid w:val="00111C37"/>
    <w:rsid w:val="00113BF3"/>
    <w:rsid w:val="00113EF8"/>
    <w:rsid w:val="00116E91"/>
    <w:rsid w:val="00121C50"/>
    <w:rsid w:val="00121FAD"/>
    <w:rsid w:val="00126968"/>
    <w:rsid w:val="00127EC9"/>
    <w:rsid w:val="00131D8E"/>
    <w:rsid w:val="001328C9"/>
    <w:rsid w:val="00132FA1"/>
    <w:rsid w:val="00135EFF"/>
    <w:rsid w:val="00135F38"/>
    <w:rsid w:val="00137415"/>
    <w:rsid w:val="001409DF"/>
    <w:rsid w:val="00142074"/>
    <w:rsid w:val="00142302"/>
    <w:rsid w:val="001428A5"/>
    <w:rsid w:val="00144D05"/>
    <w:rsid w:val="001470D3"/>
    <w:rsid w:val="001479E4"/>
    <w:rsid w:val="00151590"/>
    <w:rsid w:val="00155A80"/>
    <w:rsid w:val="00157A2D"/>
    <w:rsid w:val="0016077D"/>
    <w:rsid w:val="00162633"/>
    <w:rsid w:val="00163BC2"/>
    <w:rsid w:val="00163F9F"/>
    <w:rsid w:val="00164C07"/>
    <w:rsid w:val="00165FBC"/>
    <w:rsid w:val="00167759"/>
    <w:rsid w:val="001677C0"/>
    <w:rsid w:val="001704F6"/>
    <w:rsid w:val="00170AB7"/>
    <w:rsid w:val="001750F2"/>
    <w:rsid w:val="0017520B"/>
    <w:rsid w:val="001802D8"/>
    <w:rsid w:val="001858B8"/>
    <w:rsid w:val="00190A3A"/>
    <w:rsid w:val="00192E62"/>
    <w:rsid w:val="00193597"/>
    <w:rsid w:val="00195B82"/>
    <w:rsid w:val="00197B09"/>
    <w:rsid w:val="001A19DE"/>
    <w:rsid w:val="001A1A32"/>
    <w:rsid w:val="001A4144"/>
    <w:rsid w:val="001A433B"/>
    <w:rsid w:val="001A4438"/>
    <w:rsid w:val="001A6497"/>
    <w:rsid w:val="001B411A"/>
    <w:rsid w:val="001B4E32"/>
    <w:rsid w:val="001B5B97"/>
    <w:rsid w:val="001C0118"/>
    <w:rsid w:val="001C089A"/>
    <w:rsid w:val="001C096D"/>
    <w:rsid w:val="001C09CE"/>
    <w:rsid w:val="001C1C7B"/>
    <w:rsid w:val="001C4946"/>
    <w:rsid w:val="001C4FEA"/>
    <w:rsid w:val="001C538C"/>
    <w:rsid w:val="001C6BC6"/>
    <w:rsid w:val="001D342C"/>
    <w:rsid w:val="001D451B"/>
    <w:rsid w:val="001D73F2"/>
    <w:rsid w:val="001D7653"/>
    <w:rsid w:val="001E0249"/>
    <w:rsid w:val="001E0BA8"/>
    <w:rsid w:val="001E3D44"/>
    <w:rsid w:val="001E41E1"/>
    <w:rsid w:val="001F1128"/>
    <w:rsid w:val="001F17EA"/>
    <w:rsid w:val="001F25AA"/>
    <w:rsid w:val="001F3552"/>
    <w:rsid w:val="001F5B0E"/>
    <w:rsid w:val="001F60AD"/>
    <w:rsid w:val="001F7481"/>
    <w:rsid w:val="001F7A08"/>
    <w:rsid w:val="002005B6"/>
    <w:rsid w:val="00203930"/>
    <w:rsid w:val="00206667"/>
    <w:rsid w:val="00211286"/>
    <w:rsid w:val="00212D40"/>
    <w:rsid w:val="00212FC6"/>
    <w:rsid w:val="00214567"/>
    <w:rsid w:val="002178C8"/>
    <w:rsid w:val="002179A2"/>
    <w:rsid w:val="00220DAE"/>
    <w:rsid w:val="00223893"/>
    <w:rsid w:val="002240DD"/>
    <w:rsid w:val="002304FE"/>
    <w:rsid w:val="00232592"/>
    <w:rsid w:val="0023735E"/>
    <w:rsid w:val="0024442B"/>
    <w:rsid w:val="0024460D"/>
    <w:rsid w:val="00245FBF"/>
    <w:rsid w:val="002461D4"/>
    <w:rsid w:val="002522BF"/>
    <w:rsid w:val="00252719"/>
    <w:rsid w:val="00255A13"/>
    <w:rsid w:val="00260A8E"/>
    <w:rsid w:val="0026100A"/>
    <w:rsid w:val="00261A4E"/>
    <w:rsid w:val="00262CD5"/>
    <w:rsid w:val="0027074F"/>
    <w:rsid w:val="002717A7"/>
    <w:rsid w:val="002718B0"/>
    <w:rsid w:val="00271E84"/>
    <w:rsid w:val="002722AF"/>
    <w:rsid w:val="00272E6E"/>
    <w:rsid w:val="0027405C"/>
    <w:rsid w:val="002811E1"/>
    <w:rsid w:val="0028251F"/>
    <w:rsid w:val="00282B66"/>
    <w:rsid w:val="00283BC7"/>
    <w:rsid w:val="00283C16"/>
    <w:rsid w:val="00285C42"/>
    <w:rsid w:val="00285CC6"/>
    <w:rsid w:val="00285ECD"/>
    <w:rsid w:val="002923AB"/>
    <w:rsid w:val="0029453B"/>
    <w:rsid w:val="002A4A37"/>
    <w:rsid w:val="002A507C"/>
    <w:rsid w:val="002A5BA4"/>
    <w:rsid w:val="002A7835"/>
    <w:rsid w:val="002A7DE0"/>
    <w:rsid w:val="002B04A9"/>
    <w:rsid w:val="002B0FED"/>
    <w:rsid w:val="002B1856"/>
    <w:rsid w:val="002B18AD"/>
    <w:rsid w:val="002B1AD2"/>
    <w:rsid w:val="002B1FA8"/>
    <w:rsid w:val="002B31A2"/>
    <w:rsid w:val="002B4C2D"/>
    <w:rsid w:val="002B5E52"/>
    <w:rsid w:val="002B6E25"/>
    <w:rsid w:val="002B739C"/>
    <w:rsid w:val="002C1467"/>
    <w:rsid w:val="002C4CF4"/>
    <w:rsid w:val="002C6B60"/>
    <w:rsid w:val="002D23BF"/>
    <w:rsid w:val="002D2749"/>
    <w:rsid w:val="002D36F7"/>
    <w:rsid w:val="002D4DEB"/>
    <w:rsid w:val="002E0D0E"/>
    <w:rsid w:val="002E39BD"/>
    <w:rsid w:val="002F10B0"/>
    <w:rsid w:val="002F15EE"/>
    <w:rsid w:val="002F231D"/>
    <w:rsid w:val="002F25B0"/>
    <w:rsid w:val="002F2BC2"/>
    <w:rsid w:val="002F38E0"/>
    <w:rsid w:val="002F4C17"/>
    <w:rsid w:val="002F523C"/>
    <w:rsid w:val="002F6315"/>
    <w:rsid w:val="002F6586"/>
    <w:rsid w:val="003003AA"/>
    <w:rsid w:val="00306308"/>
    <w:rsid w:val="00310D4B"/>
    <w:rsid w:val="00310FC6"/>
    <w:rsid w:val="0031193E"/>
    <w:rsid w:val="00311C85"/>
    <w:rsid w:val="00314BDF"/>
    <w:rsid w:val="0031575F"/>
    <w:rsid w:val="003160A9"/>
    <w:rsid w:val="00317400"/>
    <w:rsid w:val="00330E78"/>
    <w:rsid w:val="003318E6"/>
    <w:rsid w:val="00335127"/>
    <w:rsid w:val="00335725"/>
    <w:rsid w:val="0033687C"/>
    <w:rsid w:val="003436F5"/>
    <w:rsid w:val="00343F4F"/>
    <w:rsid w:val="00345603"/>
    <w:rsid w:val="00347176"/>
    <w:rsid w:val="00350AD8"/>
    <w:rsid w:val="003513E2"/>
    <w:rsid w:val="003562B1"/>
    <w:rsid w:val="00356554"/>
    <w:rsid w:val="00360ACE"/>
    <w:rsid w:val="00361FFA"/>
    <w:rsid w:val="003646F2"/>
    <w:rsid w:val="003676E6"/>
    <w:rsid w:val="00371C0D"/>
    <w:rsid w:val="00375C16"/>
    <w:rsid w:val="003776D1"/>
    <w:rsid w:val="00377C90"/>
    <w:rsid w:val="0038032C"/>
    <w:rsid w:val="0038550D"/>
    <w:rsid w:val="00390660"/>
    <w:rsid w:val="003907DD"/>
    <w:rsid w:val="00390C27"/>
    <w:rsid w:val="00390D53"/>
    <w:rsid w:val="00391414"/>
    <w:rsid w:val="00391FF1"/>
    <w:rsid w:val="00396830"/>
    <w:rsid w:val="003A0B52"/>
    <w:rsid w:val="003A0D7E"/>
    <w:rsid w:val="003A2E2E"/>
    <w:rsid w:val="003A2F90"/>
    <w:rsid w:val="003A4B89"/>
    <w:rsid w:val="003A5C13"/>
    <w:rsid w:val="003A7DDA"/>
    <w:rsid w:val="003B38B8"/>
    <w:rsid w:val="003B7D10"/>
    <w:rsid w:val="003C02E6"/>
    <w:rsid w:val="003C3348"/>
    <w:rsid w:val="003C6364"/>
    <w:rsid w:val="003C7366"/>
    <w:rsid w:val="003D1CDC"/>
    <w:rsid w:val="003D27C3"/>
    <w:rsid w:val="003D2E77"/>
    <w:rsid w:val="003D2F1A"/>
    <w:rsid w:val="003D4988"/>
    <w:rsid w:val="003D4E48"/>
    <w:rsid w:val="003D4E67"/>
    <w:rsid w:val="003E101D"/>
    <w:rsid w:val="003E2DD7"/>
    <w:rsid w:val="003E4050"/>
    <w:rsid w:val="003E4CAB"/>
    <w:rsid w:val="003F587C"/>
    <w:rsid w:val="003F6942"/>
    <w:rsid w:val="004005E6"/>
    <w:rsid w:val="00400A4E"/>
    <w:rsid w:val="00400F38"/>
    <w:rsid w:val="00401C78"/>
    <w:rsid w:val="00403421"/>
    <w:rsid w:val="004041F4"/>
    <w:rsid w:val="0040536F"/>
    <w:rsid w:val="004054B6"/>
    <w:rsid w:val="00410099"/>
    <w:rsid w:val="004108E1"/>
    <w:rsid w:val="00410D0C"/>
    <w:rsid w:val="00411D11"/>
    <w:rsid w:val="004120F6"/>
    <w:rsid w:val="004172F4"/>
    <w:rsid w:val="00420350"/>
    <w:rsid w:val="00421685"/>
    <w:rsid w:val="00422E5A"/>
    <w:rsid w:val="00427760"/>
    <w:rsid w:val="00427B3A"/>
    <w:rsid w:val="00430E4B"/>
    <w:rsid w:val="00431077"/>
    <w:rsid w:val="0043230E"/>
    <w:rsid w:val="00436C48"/>
    <w:rsid w:val="00437A5C"/>
    <w:rsid w:val="00440EAC"/>
    <w:rsid w:val="0044528C"/>
    <w:rsid w:val="0044687B"/>
    <w:rsid w:val="00447CFE"/>
    <w:rsid w:val="00447F8A"/>
    <w:rsid w:val="004504CA"/>
    <w:rsid w:val="00450881"/>
    <w:rsid w:val="00452D57"/>
    <w:rsid w:val="00453C8B"/>
    <w:rsid w:val="004547F4"/>
    <w:rsid w:val="00455CBD"/>
    <w:rsid w:val="00456173"/>
    <w:rsid w:val="00460090"/>
    <w:rsid w:val="00463ACF"/>
    <w:rsid w:val="00464BD4"/>
    <w:rsid w:val="0047015B"/>
    <w:rsid w:val="00472C5A"/>
    <w:rsid w:val="00474424"/>
    <w:rsid w:val="004770F5"/>
    <w:rsid w:val="00477F76"/>
    <w:rsid w:val="00480DAE"/>
    <w:rsid w:val="00482775"/>
    <w:rsid w:val="00482BA0"/>
    <w:rsid w:val="004857F9"/>
    <w:rsid w:val="00485E65"/>
    <w:rsid w:val="004874BB"/>
    <w:rsid w:val="00491AF8"/>
    <w:rsid w:val="00491CA5"/>
    <w:rsid w:val="00494E22"/>
    <w:rsid w:val="00497E2C"/>
    <w:rsid w:val="004A0023"/>
    <w:rsid w:val="004A27D1"/>
    <w:rsid w:val="004A2DDC"/>
    <w:rsid w:val="004A3547"/>
    <w:rsid w:val="004A4591"/>
    <w:rsid w:val="004A57A2"/>
    <w:rsid w:val="004A6EBD"/>
    <w:rsid w:val="004B2472"/>
    <w:rsid w:val="004B397B"/>
    <w:rsid w:val="004B6891"/>
    <w:rsid w:val="004C0996"/>
    <w:rsid w:val="004C10AD"/>
    <w:rsid w:val="004C1537"/>
    <w:rsid w:val="004C1D69"/>
    <w:rsid w:val="004C300F"/>
    <w:rsid w:val="004C4A16"/>
    <w:rsid w:val="004C5118"/>
    <w:rsid w:val="004C6E4D"/>
    <w:rsid w:val="004D1C3E"/>
    <w:rsid w:val="004D2330"/>
    <w:rsid w:val="004D2446"/>
    <w:rsid w:val="004D2724"/>
    <w:rsid w:val="004D491B"/>
    <w:rsid w:val="004E0293"/>
    <w:rsid w:val="004E110C"/>
    <w:rsid w:val="004E3869"/>
    <w:rsid w:val="004E47F2"/>
    <w:rsid w:val="004F14EF"/>
    <w:rsid w:val="004F1C42"/>
    <w:rsid w:val="004F25C4"/>
    <w:rsid w:val="004F331D"/>
    <w:rsid w:val="004F376C"/>
    <w:rsid w:val="004F7F8F"/>
    <w:rsid w:val="00501AF7"/>
    <w:rsid w:val="00502409"/>
    <w:rsid w:val="005032C7"/>
    <w:rsid w:val="005038A6"/>
    <w:rsid w:val="005049E5"/>
    <w:rsid w:val="0050637B"/>
    <w:rsid w:val="005070D6"/>
    <w:rsid w:val="00507388"/>
    <w:rsid w:val="00507C21"/>
    <w:rsid w:val="00510586"/>
    <w:rsid w:val="00513CE0"/>
    <w:rsid w:val="00514973"/>
    <w:rsid w:val="005152F1"/>
    <w:rsid w:val="00516788"/>
    <w:rsid w:val="00520A4F"/>
    <w:rsid w:val="00520EFF"/>
    <w:rsid w:val="005216F0"/>
    <w:rsid w:val="00521882"/>
    <w:rsid w:val="005269D4"/>
    <w:rsid w:val="00527B8E"/>
    <w:rsid w:val="00530F2B"/>
    <w:rsid w:val="00531873"/>
    <w:rsid w:val="00531F8C"/>
    <w:rsid w:val="005361A1"/>
    <w:rsid w:val="00541453"/>
    <w:rsid w:val="00550003"/>
    <w:rsid w:val="005517E1"/>
    <w:rsid w:val="00552018"/>
    <w:rsid w:val="00554DEF"/>
    <w:rsid w:val="0055680C"/>
    <w:rsid w:val="0055788E"/>
    <w:rsid w:val="005613D3"/>
    <w:rsid w:val="00561557"/>
    <w:rsid w:val="005616C7"/>
    <w:rsid w:val="00563880"/>
    <w:rsid w:val="005642C5"/>
    <w:rsid w:val="005647FC"/>
    <w:rsid w:val="0056625B"/>
    <w:rsid w:val="00566B1F"/>
    <w:rsid w:val="005674F1"/>
    <w:rsid w:val="00567896"/>
    <w:rsid w:val="00574C06"/>
    <w:rsid w:val="00575546"/>
    <w:rsid w:val="00575594"/>
    <w:rsid w:val="00581A43"/>
    <w:rsid w:val="00582926"/>
    <w:rsid w:val="00584701"/>
    <w:rsid w:val="005853DE"/>
    <w:rsid w:val="005855AB"/>
    <w:rsid w:val="005858A6"/>
    <w:rsid w:val="005858AE"/>
    <w:rsid w:val="00585C84"/>
    <w:rsid w:val="005904BB"/>
    <w:rsid w:val="005917E4"/>
    <w:rsid w:val="00591CA2"/>
    <w:rsid w:val="00592CB0"/>
    <w:rsid w:val="00594391"/>
    <w:rsid w:val="00597D92"/>
    <w:rsid w:val="005A1331"/>
    <w:rsid w:val="005A49B9"/>
    <w:rsid w:val="005B2F27"/>
    <w:rsid w:val="005B35BA"/>
    <w:rsid w:val="005B72FF"/>
    <w:rsid w:val="005B7ABE"/>
    <w:rsid w:val="005B7ADD"/>
    <w:rsid w:val="005C0823"/>
    <w:rsid w:val="005C306E"/>
    <w:rsid w:val="005C41DD"/>
    <w:rsid w:val="005D20D2"/>
    <w:rsid w:val="005E0826"/>
    <w:rsid w:val="005E184E"/>
    <w:rsid w:val="005E23AC"/>
    <w:rsid w:val="005E2ED0"/>
    <w:rsid w:val="005E44EB"/>
    <w:rsid w:val="005E7DC6"/>
    <w:rsid w:val="005F12D2"/>
    <w:rsid w:val="005F140C"/>
    <w:rsid w:val="005F2729"/>
    <w:rsid w:val="005F39FC"/>
    <w:rsid w:val="005F6EF5"/>
    <w:rsid w:val="00601FD7"/>
    <w:rsid w:val="00602CA5"/>
    <w:rsid w:val="00602FA0"/>
    <w:rsid w:val="006033FC"/>
    <w:rsid w:val="00604EC8"/>
    <w:rsid w:val="006127BA"/>
    <w:rsid w:val="006131E0"/>
    <w:rsid w:val="00616837"/>
    <w:rsid w:val="00616E61"/>
    <w:rsid w:val="0061734A"/>
    <w:rsid w:val="00617B67"/>
    <w:rsid w:val="00617C87"/>
    <w:rsid w:val="00620980"/>
    <w:rsid w:val="00620E67"/>
    <w:rsid w:val="00622D43"/>
    <w:rsid w:val="0062307C"/>
    <w:rsid w:val="00624E64"/>
    <w:rsid w:val="00630910"/>
    <w:rsid w:val="0063139F"/>
    <w:rsid w:val="006361D2"/>
    <w:rsid w:val="00640C04"/>
    <w:rsid w:val="006417BA"/>
    <w:rsid w:val="00641C51"/>
    <w:rsid w:val="00642645"/>
    <w:rsid w:val="00643C29"/>
    <w:rsid w:val="00643FCF"/>
    <w:rsid w:val="00650B77"/>
    <w:rsid w:val="00651C20"/>
    <w:rsid w:val="006547EC"/>
    <w:rsid w:val="00662015"/>
    <w:rsid w:val="00671FA2"/>
    <w:rsid w:val="00677EC8"/>
    <w:rsid w:val="00680634"/>
    <w:rsid w:val="00686C38"/>
    <w:rsid w:val="00693C11"/>
    <w:rsid w:val="00693EE1"/>
    <w:rsid w:val="0069405D"/>
    <w:rsid w:val="00694F06"/>
    <w:rsid w:val="0069568F"/>
    <w:rsid w:val="006A22DF"/>
    <w:rsid w:val="006A6B79"/>
    <w:rsid w:val="006B0466"/>
    <w:rsid w:val="006B17B8"/>
    <w:rsid w:val="006B4A10"/>
    <w:rsid w:val="006B60D9"/>
    <w:rsid w:val="006B647E"/>
    <w:rsid w:val="006C20D7"/>
    <w:rsid w:val="006C3A31"/>
    <w:rsid w:val="006C40F6"/>
    <w:rsid w:val="006C43E7"/>
    <w:rsid w:val="006C6B61"/>
    <w:rsid w:val="006C7584"/>
    <w:rsid w:val="006D3324"/>
    <w:rsid w:val="006D503A"/>
    <w:rsid w:val="006D5E36"/>
    <w:rsid w:val="006D68B1"/>
    <w:rsid w:val="006D7909"/>
    <w:rsid w:val="006E14C0"/>
    <w:rsid w:val="006E2F70"/>
    <w:rsid w:val="006E6E8F"/>
    <w:rsid w:val="006F3A04"/>
    <w:rsid w:val="006F568F"/>
    <w:rsid w:val="006F5C73"/>
    <w:rsid w:val="00701E21"/>
    <w:rsid w:val="0070379A"/>
    <w:rsid w:val="007065E5"/>
    <w:rsid w:val="00710220"/>
    <w:rsid w:val="007114D6"/>
    <w:rsid w:val="007122AE"/>
    <w:rsid w:val="00713FC9"/>
    <w:rsid w:val="00716072"/>
    <w:rsid w:val="0071733F"/>
    <w:rsid w:val="00720A05"/>
    <w:rsid w:val="00732029"/>
    <w:rsid w:val="007327EE"/>
    <w:rsid w:val="007367EF"/>
    <w:rsid w:val="00736833"/>
    <w:rsid w:val="00737E5F"/>
    <w:rsid w:val="00740669"/>
    <w:rsid w:val="007437D4"/>
    <w:rsid w:val="00744732"/>
    <w:rsid w:val="00745237"/>
    <w:rsid w:val="007467D2"/>
    <w:rsid w:val="00750C92"/>
    <w:rsid w:val="0075176F"/>
    <w:rsid w:val="00751D84"/>
    <w:rsid w:val="00753F93"/>
    <w:rsid w:val="00753FD8"/>
    <w:rsid w:val="00757C14"/>
    <w:rsid w:val="007618B6"/>
    <w:rsid w:val="00761BFE"/>
    <w:rsid w:val="007624A5"/>
    <w:rsid w:val="00762E29"/>
    <w:rsid w:val="00766EB5"/>
    <w:rsid w:val="00767D34"/>
    <w:rsid w:val="00771A5A"/>
    <w:rsid w:val="007729FD"/>
    <w:rsid w:val="00775CAC"/>
    <w:rsid w:val="007816BD"/>
    <w:rsid w:val="007823F5"/>
    <w:rsid w:val="007873BD"/>
    <w:rsid w:val="00790D76"/>
    <w:rsid w:val="00791037"/>
    <w:rsid w:val="00791CAE"/>
    <w:rsid w:val="00791D49"/>
    <w:rsid w:val="00792DED"/>
    <w:rsid w:val="007947D5"/>
    <w:rsid w:val="007A0C31"/>
    <w:rsid w:val="007A3FE0"/>
    <w:rsid w:val="007A649A"/>
    <w:rsid w:val="007A7B7C"/>
    <w:rsid w:val="007B11F6"/>
    <w:rsid w:val="007B5F04"/>
    <w:rsid w:val="007B67A1"/>
    <w:rsid w:val="007C00AF"/>
    <w:rsid w:val="007C3B6E"/>
    <w:rsid w:val="007C4E47"/>
    <w:rsid w:val="007C5B0B"/>
    <w:rsid w:val="007C5EE3"/>
    <w:rsid w:val="007C6DF5"/>
    <w:rsid w:val="007D0C23"/>
    <w:rsid w:val="007D2362"/>
    <w:rsid w:val="007D5391"/>
    <w:rsid w:val="007E0583"/>
    <w:rsid w:val="007E0FA2"/>
    <w:rsid w:val="007E2456"/>
    <w:rsid w:val="007E28C1"/>
    <w:rsid w:val="007E4533"/>
    <w:rsid w:val="007E6BED"/>
    <w:rsid w:val="007F58DC"/>
    <w:rsid w:val="007F62DD"/>
    <w:rsid w:val="008004F1"/>
    <w:rsid w:val="00802807"/>
    <w:rsid w:val="0080436C"/>
    <w:rsid w:val="00805745"/>
    <w:rsid w:val="008074D1"/>
    <w:rsid w:val="00811568"/>
    <w:rsid w:val="00821B57"/>
    <w:rsid w:val="008223B2"/>
    <w:rsid w:val="0082541A"/>
    <w:rsid w:val="0082558E"/>
    <w:rsid w:val="00831C1B"/>
    <w:rsid w:val="008327ED"/>
    <w:rsid w:val="00834E79"/>
    <w:rsid w:val="008358AF"/>
    <w:rsid w:val="0083674C"/>
    <w:rsid w:val="00836DFE"/>
    <w:rsid w:val="008403D4"/>
    <w:rsid w:val="00843590"/>
    <w:rsid w:val="00845280"/>
    <w:rsid w:val="0084579E"/>
    <w:rsid w:val="00847968"/>
    <w:rsid w:val="0085175A"/>
    <w:rsid w:val="008519AA"/>
    <w:rsid w:val="0085597F"/>
    <w:rsid w:val="00861184"/>
    <w:rsid w:val="00863B7F"/>
    <w:rsid w:val="00867A09"/>
    <w:rsid w:val="00871C58"/>
    <w:rsid w:val="008728A9"/>
    <w:rsid w:val="00873383"/>
    <w:rsid w:val="00874EDF"/>
    <w:rsid w:val="00875C3D"/>
    <w:rsid w:val="00876128"/>
    <w:rsid w:val="00876154"/>
    <w:rsid w:val="00876986"/>
    <w:rsid w:val="008812C7"/>
    <w:rsid w:val="00881942"/>
    <w:rsid w:val="00883C2C"/>
    <w:rsid w:val="00885B18"/>
    <w:rsid w:val="008865D2"/>
    <w:rsid w:val="008867D3"/>
    <w:rsid w:val="008872BD"/>
    <w:rsid w:val="00887F5A"/>
    <w:rsid w:val="0089213F"/>
    <w:rsid w:val="00892935"/>
    <w:rsid w:val="0089316A"/>
    <w:rsid w:val="00894BAC"/>
    <w:rsid w:val="00896486"/>
    <w:rsid w:val="008A0865"/>
    <w:rsid w:val="008A1181"/>
    <w:rsid w:val="008A5940"/>
    <w:rsid w:val="008A5B1A"/>
    <w:rsid w:val="008A6CC5"/>
    <w:rsid w:val="008A7AA2"/>
    <w:rsid w:val="008B0597"/>
    <w:rsid w:val="008B0B03"/>
    <w:rsid w:val="008B0E8B"/>
    <w:rsid w:val="008B76F4"/>
    <w:rsid w:val="008C0444"/>
    <w:rsid w:val="008C452C"/>
    <w:rsid w:val="008C61E5"/>
    <w:rsid w:val="008D0B82"/>
    <w:rsid w:val="008D133F"/>
    <w:rsid w:val="008D6D64"/>
    <w:rsid w:val="008E12DF"/>
    <w:rsid w:val="008E1411"/>
    <w:rsid w:val="008E2707"/>
    <w:rsid w:val="008E418F"/>
    <w:rsid w:val="008E5944"/>
    <w:rsid w:val="008E6DA9"/>
    <w:rsid w:val="008E7558"/>
    <w:rsid w:val="008F0D50"/>
    <w:rsid w:val="008F18F0"/>
    <w:rsid w:val="008F408C"/>
    <w:rsid w:val="008F4C62"/>
    <w:rsid w:val="008F5B55"/>
    <w:rsid w:val="008F6B85"/>
    <w:rsid w:val="008F7775"/>
    <w:rsid w:val="0090227C"/>
    <w:rsid w:val="0090235B"/>
    <w:rsid w:val="00906E94"/>
    <w:rsid w:val="009104BD"/>
    <w:rsid w:val="00910EDC"/>
    <w:rsid w:val="00911612"/>
    <w:rsid w:val="0091190B"/>
    <w:rsid w:val="00912694"/>
    <w:rsid w:val="0091616D"/>
    <w:rsid w:val="009175A6"/>
    <w:rsid w:val="00921880"/>
    <w:rsid w:val="00922DE7"/>
    <w:rsid w:val="00923509"/>
    <w:rsid w:val="00924397"/>
    <w:rsid w:val="0092561E"/>
    <w:rsid w:val="009267A1"/>
    <w:rsid w:val="00932A1F"/>
    <w:rsid w:val="009378A7"/>
    <w:rsid w:val="00943080"/>
    <w:rsid w:val="00945ED1"/>
    <w:rsid w:val="00946BB6"/>
    <w:rsid w:val="00950EE0"/>
    <w:rsid w:val="0095123B"/>
    <w:rsid w:val="00960DEB"/>
    <w:rsid w:val="00963469"/>
    <w:rsid w:val="009746CE"/>
    <w:rsid w:val="00976C12"/>
    <w:rsid w:val="009819C7"/>
    <w:rsid w:val="00981E0E"/>
    <w:rsid w:val="00981E7E"/>
    <w:rsid w:val="009828D6"/>
    <w:rsid w:val="009828F0"/>
    <w:rsid w:val="009841D2"/>
    <w:rsid w:val="00984F6B"/>
    <w:rsid w:val="009867CD"/>
    <w:rsid w:val="00987E0D"/>
    <w:rsid w:val="00987E19"/>
    <w:rsid w:val="0099051C"/>
    <w:rsid w:val="00991525"/>
    <w:rsid w:val="00993366"/>
    <w:rsid w:val="00993C12"/>
    <w:rsid w:val="009A7000"/>
    <w:rsid w:val="009A7397"/>
    <w:rsid w:val="009B019D"/>
    <w:rsid w:val="009B3450"/>
    <w:rsid w:val="009B3DF6"/>
    <w:rsid w:val="009B4E9F"/>
    <w:rsid w:val="009B55AE"/>
    <w:rsid w:val="009C06C5"/>
    <w:rsid w:val="009C2406"/>
    <w:rsid w:val="009C2D37"/>
    <w:rsid w:val="009C2F68"/>
    <w:rsid w:val="009C53E3"/>
    <w:rsid w:val="009C78DF"/>
    <w:rsid w:val="009C7943"/>
    <w:rsid w:val="009D137E"/>
    <w:rsid w:val="009D2D3D"/>
    <w:rsid w:val="009D3208"/>
    <w:rsid w:val="009D71B6"/>
    <w:rsid w:val="009D763D"/>
    <w:rsid w:val="009E08AF"/>
    <w:rsid w:val="009E0E21"/>
    <w:rsid w:val="009E1B80"/>
    <w:rsid w:val="009E2DBE"/>
    <w:rsid w:val="009E342F"/>
    <w:rsid w:val="009E4071"/>
    <w:rsid w:val="009E4B8A"/>
    <w:rsid w:val="009E740E"/>
    <w:rsid w:val="009F4607"/>
    <w:rsid w:val="009F56A3"/>
    <w:rsid w:val="009F7591"/>
    <w:rsid w:val="009F788C"/>
    <w:rsid w:val="009F7DB3"/>
    <w:rsid w:val="00A001A5"/>
    <w:rsid w:val="00A00A51"/>
    <w:rsid w:val="00A0172C"/>
    <w:rsid w:val="00A01E2C"/>
    <w:rsid w:val="00A02654"/>
    <w:rsid w:val="00A02D10"/>
    <w:rsid w:val="00A033C3"/>
    <w:rsid w:val="00A03B92"/>
    <w:rsid w:val="00A03BFF"/>
    <w:rsid w:val="00A04612"/>
    <w:rsid w:val="00A05BAA"/>
    <w:rsid w:val="00A05F97"/>
    <w:rsid w:val="00A062C9"/>
    <w:rsid w:val="00A06D8D"/>
    <w:rsid w:val="00A10E73"/>
    <w:rsid w:val="00A1588F"/>
    <w:rsid w:val="00A162BA"/>
    <w:rsid w:val="00A1658B"/>
    <w:rsid w:val="00A221DE"/>
    <w:rsid w:val="00A23967"/>
    <w:rsid w:val="00A23AFB"/>
    <w:rsid w:val="00A23BE3"/>
    <w:rsid w:val="00A23E38"/>
    <w:rsid w:val="00A23F01"/>
    <w:rsid w:val="00A27BB1"/>
    <w:rsid w:val="00A3069A"/>
    <w:rsid w:val="00A30BCC"/>
    <w:rsid w:val="00A31616"/>
    <w:rsid w:val="00A332F2"/>
    <w:rsid w:val="00A37302"/>
    <w:rsid w:val="00A4073F"/>
    <w:rsid w:val="00A41783"/>
    <w:rsid w:val="00A4186B"/>
    <w:rsid w:val="00A464EF"/>
    <w:rsid w:val="00A473C5"/>
    <w:rsid w:val="00A5009A"/>
    <w:rsid w:val="00A51C0A"/>
    <w:rsid w:val="00A51FA6"/>
    <w:rsid w:val="00A54834"/>
    <w:rsid w:val="00A63033"/>
    <w:rsid w:val="00A63B13"/>
    <w:rsid w:val="00A70F01"/>
    <w:rsid w:val="00A7127C"/>
    <w:rsid w:val="00A72438"/>
    <w:rsid w:val="00A724E7"/>
    <w:rsid w:val="00A731A9"/>
    <w:rsid w:val="00A736B8"/>
    <w:rsid w:val="00A751F1"/>
    <w:rsid w:val="00A760A9"/>
    <w:rsid w:val="00A762D3"/>
    <w:rsid w:val="00A76810"/>
    <w:rsid w:val="00A83762"/>
    <w:rsid w:val="00A86101"/>
    <w:rsid w:val="00A864FE"/>
    <w:rsid w:val="00A87E92"/>
    <w:rsid w:val="00A922E2"/>
    <w:rsid w:val="00A92301"/>
    <w:rsid w:val="00A9230A"/>
    <w:rsid w:val="00A92BEA"/>
    <w:rsid w:val="00A92C10"/>
    <w:rsid w:val="00A96E37"/>
    <w:rsid w:val="00A9750A"/>
    <w:rsid w:val="00AA00F2"/>
    <w:rsid w:val="00AA107B"/>
    <w:rsid w:val="00AA4836"/>
    <w:rsid w:val="00AA5525"/>
    <w:rsid w:val="00AA7336"/>
    <w:rsid w:val="00AA75AD"/>
    <w:rsid w:val="00AB0AAB"/>
    <w:rsid w:val="00AB14AD"/>
    <w:rsid w:val="00AB16E4"/>
    <w:rsid w:val="00AB377D"/>
    <w:rsid w:val="00AC4FC2"/>
    <w:rsid w:val="00AC70D5"/>
    <w:rsid w:val="00AC7739"/>
    <w:rsid w:val="00AD6E29"/>
    <w:rsid w:val="00AE2B36"/>
    <w:rsid w:val="00AE48C2"/>
    <w:rsid w:val="00AE55C0"/>
    <w:rsid w:val="00AE7B8D"/>
    <w:rsid w:val="00AF0530"/>
    <w:rsid w:val="00AF0BB5"/>
    <w:rsid w:val="00AF10D5"/>
    <w:rsid w:val="00AF2203"/>
    <w:rsid w:val="00AF4FB6"/>
    <w:rsid w:val="00AF5967"/>
    <w:rsid w:val="00AF5A6D"/>
    <w:rsid w:val="00AF6C06"/>
    <w:rsid w:val="00AF7822"/>
    <w:rsid w:val="00B01735"/>
    <w:rsid w:val="00B03518"/>
    <w:rsid w:val="00B03D3B"/>
    <w:rsid w:val="00B03F04"/>
    <w:rsid w:val="00B06823"/>
    <w:rsid w:val="00B11FBA"/>
    <w:rsid w:val="00B128EB"/>
    <w:rsid w:val="00B147AC"/>
    <w:rsid w:val="00B14DFD"/>
    <w:rsid w:val="00B160EF"/>
    <w:rsid w:val="00B167EC"/>
    <w:rsid w:val="00B1757E"/>
    <w:rsid w:val="00B26922"/>
    <w:rsid w:val="00B2694B"/>
    <w:rsid w:val="00B303C6"/>
    <w:rsid w:val="00B30F2C"/>
    <w:rsid w:val="00B3191C"/>
    <w:rsid w:val="00B31921"/>
    <w:rsid w:val="00B32F01"/>
    <w:rsid w:val="00B338E4"/>
    <w:rsid w:val="00B40E9C"/>
    <w:rsid w:val="00B460FE"/>
    <w:rsid w:val="00B475AE"/>
    <w:rsid w:val="00B504F8"/>
    <w:rsid w:val="00B52B15"/>
    <w:rsid w:val="00B55055"/>
    <w:rsid w:val="00B557B6"/>
    <w:rsid w:val="00B55B88"/>
    <w:rsid w:val="00B56383"/>
    <w:rsid w:val="00B56839"/>
    <w:rsid w:val="00B57649"/>
    <w:rsid w:val="00B64273"/>
    <w:rsid w:val="00B643FE"/>
    <w:rsid w:val="00B66E7B"/>
    <w:rsid w:val="00B67692"/>
    <w:rsid w:val="00B677C4"/>
    <w:rsid w:val="00B70096"/>
    <w:rsid w:val="00B71ACB"/>
    <w:rsid w:val="00B71D66"/>
    <w:rsid w:val="00B72D32"/>
    <w:rsid w:val="00B736DF"/>
    <w:rsid w:val="00B74719"/>
    <w:rsid w:val="00B76E93"/>
    <w:rsid w:val="00B80033"/>
    <w:rsid w:val="00B80F9B"/>
    <w:rsid w:val="00B83558"/>
    <w:rsid w:val="00B85513"/>
    <w:rsid w:val="00B91A25"/>
    <w:rsid w:val="00B93169"/>
    <w:rsid w:val="00B96118"/>
    <w:rsid w:val="00B9675B"/>
    <w:rsid w:val="00BA0DC0"/>
    <w:rsid w:val="00BA1014"/>
    <w:rsid w:val="00BA3030"/>
    <w:rsid w:val="00BA5890"/>
    <w:rsid w:val="00BA7683"/>
    <w:rsid w:val="00BB01D2"/>
    <w:rsid w:val="00BB04B0"/>
    <w:rsid w:val="00BB400C"/>
    <w:rsid w:val="00BB53CF"/>
    <w:rsid w:val="00BB5FF4"/>
    <w:rsid w:val="00BB75C5"/>
    <w:rsid w:val="00BC0C5B"/>
    <w:rsid w:val="00BC4456"/>
    <w:rsid w:val="00BC6487"/>
    <w:rsid w:val="00BC6C47"/>
    <w:rsid w:val="00BC6F11"/>
    <w:rsid w:val="00BC728E"/>
    <w:rsid w:val="00BC78FF"/>
    <w:rsid w:val="00BD0C5A"/>
    <w:rsid w:val="00BD2191"/>
    <w:rsid w:val="00BD2D53"/>
    <w:rsid w:val="00BD3A7F"/>
    <w:rsid w:val="00BD59BD"/>
    <w:rsid w:val="00BD7083"/>
    <w:rsid w:val="00BE14E8"/>
    <w:rsid w:val="00BE3AFC"/>
    <w:rsid w:val="00BE7738"/>
    <w:rsid w:val="00BF2474"/>
    <w:rsid w:val="00BF272E"/>
    <w:rsid w:val="00BF30DB"/>
    <w:rsid w:val="00BF3B2D"/>
    <w:rsid w:val="00BF5864"/>
    <w:rsid w:val="00C0370F"/>
    <w:rsid w:val="00C03BCD"/>
    <w:rsid w:val="00C06171"/>
    <w:rsid w:val="00C0733C"/>
    <w:rsid w:val="00C15EB6"/>
    <w:rsid w:val="00C20360"/>
    <w:rsid w:val="00C22E01"/>
    <w:rsid w:val="00C2391A"/>
    <w:rsid w:val="00C23D1B"/>
    <w:rsid w:val="00C26033"/>
    <w:rsid w:val="00C26784"/>
    <w:rsid w:val="00C27854"/>
    <w:rsid w:val="00C27A75"/>
    <w:rsid w:val="00C3202E"/>
    <w:rsid w:val="00C32648"/>
    <w:rsid w:val="00C34FB1"/>
    <w:rsid w:val="00C37000"/>
    <w:rsid w:val="00C4116D"/>
    <w:rsid w:val="00C415D5"/>
    <w:rsid w:val="00C4283F"/>
    <w:rsid w:val="00C445D3"/>
    <w:rsid w:val="00C46BBD"/>
    <w:rsid w:val="00C54F12"/>
    <w:rsid w:val="00C55791"/>
    <w:rsid w:val="00C557C7"/>
    <w:rsid w:val="00C56F28"/>
    <w:rsid w:val="00C57E96"/>
    <w:rsid w:val="00C63558"/>
    <w:rsid w:val="00C63619"/>
    <w:rsid w:val="00C63C25"/>
    <w:rsid w:val="00C64090"/>
    <w:rsid w:val="00C673B4"/>
    <w:rsid w:val="00C704CA"/>
    <w:rsid w:val="00C71937"/>
    <w:rsid w:val="00C71AB0"/>
    <w:rsid w:val="00C71CA5"/>
    <w:rsid w:val="00C811EA"/>
    <w:rsid w:val="00C816F1"/>
    <w:rsid w:val="00C81856"/>
    <w:rsid w:val="00C831AD"/>
    <w:rsid w:val="00C836F9"/>
    <w:rsid w:val="00C85068"/>
    <w:rsid w:val="00C8658C"/>
    <w:rsid w:val="00C8744E"/>
    <w:rsid w:val="00C912E8"/>
    <w:rsid w:val="00C944E9"/>
    <w:rsid w:val="00C961DB"/>
    <w:rsid w:val="00CA0C28"/>
    <w:rsid w:val="00CA24ED"/>
    <w:rsid w:val="00CA6D34"/>
    <w:rsid w:val="00CB08A6"/>
    <w:rsid w:val="00CB1798"/>
    <w:rsid w:val="00CB42B5"/>
    <w:rsid w:val="00CB44E7"/>
    <w:rsid w:val="00CC0B20"/>
    <w:rsid w:val="00CC4B58"/>
    <w:rsid w:val="00CC5500"/>
    <w:rsid w:val="00CC5ED8"/>
    <w:rsid w:val="00CC730B"/>
    <w:rsid w:val="00CD35A8"/>
    <w:rsid w:val="00CE112B"/>
    <w:rsid w:val="00CE25D1"/>
    <w:rsid w:val="00CE3A36"/>
    <w:rsid w:val="00CE3CB6"/>
    <w:rsid w:val="00CE3DB5"/>
    <w:rsid w:val="00CE4F8A"/>
    <w:rsid w:val="00CF0C37"/>
    <w:rsid w:val="00CF165C"/>
    <w:rsid w:val="00CF2731"/>
    <w:rsid w:val="00CF3CD5"/>
    <w:rsid w:val="00CF42B7"/>
    <w:rsid w:val="00CF516A"/>
    <w:rsid w:val="00CF659E"/>
    <w:rsid w:val="00D00AA0"/>
    <w:rsid w:val="00D0343C"/>
    <w:rsid w:val="00D0350F"/>
    <w:rsid w:val="00D05E33"/>
    <w:rsid w:val="00D071A5"/>
    <w:rsid w:val="00D07CD3"/>
    <w:rsid w:val="00D07D39"/>
    <w:rsid w:val="00D10186"/>
    <w:rsid w:val="00D10815"/>
    <w:rsid w:val="00D167D1"/>
    <w:rsid w:val="00D17CAF"/>
    <w:rsid w:val="00D20C52"/>
    <w:rsid w:val="00D23548"/>
    <w:rsid w:val="00D24D30"/>
    <w:rsid w:val="00D2554F"/>
    <w:rsid w:val="00D25784"/>
    <w:rsid w:val="00D3053D"/>
    <w:rsid w:val="00D30A1E"/>
    <w:rsid w:val="00D31AC4"/>
    <w:rsid w:val="00D32FEC"/>
    <w:rsid w:val="00D348F8"/>
    <w:rsid w:val="00D3500A"/>
    <w:rsid w:val="00D354EE"/>
    <w:rsid w:val="00D3639F"/>
    <w:rsid w:val="00D367CF"/>
    <w:rsid w:val="00D37967"/>
    <w:rsid w:val="00D403AB"/>
    <w:rsid w:val="00D40C22"/>
    <w:rsid w:val="00D40FDE"/>
    <w:rsid w:val="00D4140C"/>
    <w:rsid w:val="00D422DF"/>
    <w:rsid w:val="00D42FF8"/>
    <w:rsid w:val="00D4643B"/>
    <w:rsid w:val="00D47401"/>
    <w:rsid w:val="00D50EA9"/>
    <w:rsid w:val="00D5180F"/>
    <w:rsid w:val="00D53262"/>
    <w:rsid w:val="00D549B8"/>
    <w:rsid w:val="00D574C7"/>
    <w:rsid w:val="00D57B83"/>
    <w:rsid w:val="00D62506"/>
    <w:rsid w:val="00D64291"/>
    <w:rsid w:val="00D6699A"/>
    <w:rsid w:val="00D81D8B"/>
    <w:rsid w:val="00D84658"/>
    <w:rsid w:val="00D9525E"/>
    <w:rsid w:val="00D96397"/>
    <w:rsid w:val="00DA37FF"/>
    <w:rsid w:val="00DA4900"/>
    <w:rsid w:val="00DA5914"/>
    <w:rsid w:val="00DA6059"/>
    <w:rsid w:val="00DA61D5"/>
    <w:rsid w:val="00DB6518"/>
    <w:rsid w:val="00DC00CE"/>
    <w:rsid w:val="00DC1969"/>
    <w:rsid w:val="00DC3832"/>
    <w:rsid w:val="00DC407C"/>
    <w:rsid w:val="00DC4BBA"/>
    <w:rsid w:val="00DD337B"/>
    <w:rsid w:val="00DD4857"/>
    <w:rsid w:val="00DD5397"/>
    <w:rsid w:val="00DE27B2"/>
    <w:rsid w:val="00DE3E10"/>
    <w:rsid w:val="00DE50F9"/>
    <w:rsid w:val="00DE5AFF"/>
    <w:rsid w:val="00DE7D78"/>
    <w:rsid w:val="00DF1747"/>
    <w:rsid w:val="00DF7321"/>
    <w:rsid w:val="00E01B13"/>
    <w:rsid w:val="00E01C9D"/>
    <w:rsid w:val="00E04875"/>
    <w:rsid w:val="00E140CF"/>
    <w:rsid w:val="00E1527A"/>
    <w:rsid w:val="00E165D3"/>
    <w:rsid w:val="00E165DB"/>
    <w:rsid w:val="00E2008D"/>
    <w:rsid w:val="00E20710"/>
    <w:rsid w:val="00E21208"/>
    <w:rsid w:val="00E2342D"/>
    <w:rsid w:val="00E27E6F"/>
    <w:rsid w:val="00E27FEF"/>
    <w:rsid w:val="00E31294"/>
    <w:rsid w:val="00E31CB1"/>
    <w:rsid w:val="00E31FF4"/>
    <w:rsid w:val="00E34B66"/>
    <w:rsid w:val="00E371B1"/>
    <w:rsid w:val="00E40C29"/>
    <w:rsid w:val="00E41092"/>
    <w:rsid w:val="00E413E8"/>
    <w:rsid w:val="00E4145B"/>
    <w:rsid w:val="00E43937"/>
    <w:rsid w:val="00E43ADE"/>
    <w:rsid w:val="00E469F8"/>
    <w:rsid w:val="00E46A57"/>
    <w:rsid w:val="00E46B0B"/>
    <w:rsid w:val="00E506B0"/>
    <w:rsid w:val="00E50AD4"/>
    <w:rsid w:val="00E51AF6"/>
    <w:rsid w:val="00E5296D"/>
    <w:rsid w:val="00E61AD4"/>
    <w:rsid w:val="00E61F32"/>
    <w:rsid w:val="00E62B81"/>
    <w:rsid w:val="00E63649"/>
    <w:rsid w:val="00E6608A"/>
    <w:rsid w:val="00E707F8"/>
    <w:rsid w:val="00E74EB0"/>
    <w:rsid w:val="00E76958"/>
    <w:rsid w:val="00E76D69"/>
    <w:rsid w:val="00E76E7F"/>
    <w:rsid w:val="00E772AA"/>
    <w:rsid w:val="00E805B1"/>
    <w:rsid w:val="00E81C64"/>
    <w:rsid w:val="00E84DA0"/>
    <w:rsid w:val="00E85E4C"/>
    <w:rsid w:val="00E87366"/>
    <w:rsid w:val="00E87A5E"/>
    <w:rsid w:val="00E87BA5"/>
    <w:rsid w:val="00E87DFE"/>
    <w:rsid w:val="00E87FC5"/>
    <w:rsid w:val="00E92DA3"/>
    <w:rsid w:val="00E933E0"/>
    <w:rsid w:val="00E93550"/>
    <w:rsid w:val="00E94687"/>
    <w:rsid w:val="00E950D9"/>
    <w:rsid w:val="00E9609E"/>
    <w:rsid w:val="00E973E5"/>
    <w:rsid w:val="00E9748D"/>
    <w:rsid w:val="00EA245F"/>
    <w:rsid w:val="00EA369D"/>
    <w:rsid w:val="00EA514F"/>
    <w:rsid w:val="00EA643B"/>
    <w:rsid w:val="00EA65CC"/>
    <w:rsid w:val="00EA6B66"/>
    <w:rsid w:val="00EB01D1"/>
    <w:rsid w:val="00EB4025"/>
    <w:rsid w:val="00EB4B8C"/>
    <w:rsid w:val="00EB786D"/>
    <w:rsid w:val="00EC2E7A"/>
    <w:rsid w:val="00EC66FC"/>
    <w:rsid w:val="00EC7038"/>
    <w:rsid w:val="00ED060E"/>
    <w:rsid w:val="00ED116D"/>
    <w:rsid w:val="00ED5049"/>
    <w:rsid w:val="00EE0133"/>
    <w:rsid w:val="00EE0929"/>
    <w:rsid w:val="00EE19D0"/>
    <w:rsid w:val="00EE230A"/>
    <w:rsid w:val="00EE2999"/>
    <w:rsid w:val="00EE561D"/>
    <w:rsid w:val="00EE6039"/>
    <w:rsid w:val="00EE6D86"/>
    <w:rsid w:val="00EF2450"/>
    <w:rsid w:val="00EF26C7"/>
    <w:rsid w:val="00EF2E38"/>
    <w:rsid w:val="00EF3357"/>
    <w:rsid w:val="00EF3A30"/>
    <w:rsid w:val="00EF6F1F"/>
    <w:rsid w:val="00F00179"/>
    <w:rsid w:val="00F00D68"/>
    <w:rsid w:val="00F01C63"/>
    <w:rsid w:val="00F03075"/>
    <w:rsid w:val="00F04C80"/>
    <w:rsid w:val="00F063A7"/>
    <w:rsid w:val="00F0642F"/>
    <w:rsid w:val="00F116C5"/>
    <w:rsid w:val="00F125B6"/>
    <w:rsid w:val="00F13039"/>
    <w:rsid w:val="00F14BE7"/>
    <w:rsid w:val="00F15AE8"/>
    <w:rsid w:val="00F16995"/>
    <w:rsid w:val="00F17166"/>
    <w:rsid w:val="00F212A4"/>
    <w:rsid w:val="00F215EE"/>
    <w:rsid w:val="00F21632"/>
    <w:rsid w:val="00F23C21"/>
    <w:rsid w:val="00F2637B"/>
    <w:rsid w:val="00F274FB"/>
    <w:rsid w:val="00F31F4C"/>
    <w:rsid w:val="00F3228C"/>
    <w:rsid w:val="00F3229C"/>
    <w:rsid w:val="00F37E35"/>
    <w:rsid w:val="00F40E4B"/>
    <w:rsid w:val="00F425CB"/>
    <w:rsid w:val="00F42753"/>
    <w:rsid w:val="00F431D3"/>
    <w:rsid w:val="00F55A9C"/>
    <w:rsid w:val="00F561E2"/>
    <w:rsid w:val="00F61185"/>
    <w:rsid w:val="00F6255F"/>
    <w:rsid w:val="00F63AA3"/>
    <w:rsid w:val="00F64190"/>
    <w:rsid w:val="00F66F7B"/>
    <w:rsid w:val="00F67130"/>
    <w:rsid w:val="00F70B02"/>
    <w:rsid w:val="00F711DF"/>
    <w:rsid w:val="00F7479B"/>
    <w:rsid w:val="00F77DEE"/>
    <w:rsid w:val="00F84B9E"/>
    <w:rsid w:val="00F852BC"/>
    <w:rsid w:val="00F854C6"/>
    <w:rsid w:val="00F85E82"/>
    <w:rsid w:val="00F90443"/>
    <w:rsid w:val="00F92DDA"/>
    <w:rsid w:val="00F933E0"/>
    <w:rsid w:val="00FA41CC"/>
    <w:rsid w:val="00FA5019"/>
    <w:rsid w:val="00FA52AD"/>
    <w:rsid w:val="00FA535F"/>
    <w:rsid w:val="00FA59A9"/>
    <w:rsid w:val="00FB2C21"/>
    <w:rsid w:val="00FB632E"/>
    <w:rsid w:val="00FC2CB7"/>
    <w:rsid w:val="00FC31CB"/>
    <w:rsid w:val="00FC4A07"/>
    <w:rsid w:val="00FC603D"/>
    <w:rsid w:val="00FC7DEB"/>
    <w:rsid w:val="00FD0B12"/>
    <w:rsid w:val="00FD1B4B"/>
    <w:rsid w:val="00FD3E18"/>
    <w:rsid w:val="00FD4B6A"/>
    <w:rsid w:val="00FD7B53"/>
    <w:rsid w:val="00FD7F8B"/>
    <w:rsid w:val="00FE0860"/>
    <w:rsid w:val="00FE0BBD"/>
    <w:rsid w:val="00FE271C"/>
    <w:rsid w:val="00FE3586"/>
    <w:rsid w:val="00FE6626"/>
    <w:rsid w:val="00FE67A5"/>
    <w:rsid w:val="00FF378C"/>
    <w:rsid w:val="00FF3B87"/>
    <w:rsid w:val="00FF46F9"/>
    <w:rsid w:val="00FF5170"/>
    <w:rsid w:val="09D82F89"/>
    <w:rsid w:val="11B575B6"/>
    <w:rsid w:val="1ED165DC"/>
    <w:rsid w:val="214C3E77"/>
    <w:rsid w:val="26DB3F7D"/>
    <w:rsid w:val="29543E87"/>
    <w:rsid w:val="350C6975"/>
    <w:rsid w:val="3F723172"/>
    <w:rsid w:val="45A24BD9"/>
    <w:rsid w:val="49247CE6"/>
    <w:rsid w:val="53F918AD"/>
    <w:rsid w:val="580C5D55"/>
    <w:rsid w:val="6012008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23"/>
    <w:semiHidden/>
    <w:unhideWhenUsed/>
    <w:uiPriority w:val="99"/>
    <w:pPr>
      <w:jc w:val="left"/>
    </w:pPr>
  </w:style>
  <w:style w:type="paragraph" w:styleId="3">
    <w:name w:val="Date"/>
    <w:basedOn w:val="1"/>
    <w:next w:val="1"/>
    <w:link w:val="19"/>
    <w:semiHidden/>
    <w:qFormat/>
    <w:uiPriority w:val="99"/>
    <w:pPr>
      <w:ind w:left="100" w:leftChars="2500"/>
    </w:pPr>
  </w:style>
  <w:style w:type="paragraph" w:styleId="4">
    <w:name w:val="Balloon Text"/>
    <w:basedOn w:val="1"/>
    <w:link w:val="18"/>
    <w:semiHidden/>
    <w:qFormat/>
    <w:uiPriority w:val="99"/>
    <w:rPr>
      <w:sz w:val="18"/>
      <w:szCs w:val="18"/>
    </w:rPr>
  </w:style>
  <w:style w:type="paragraph" w:styleId="5">
    <w:name w:val="footer"/>
    <w:basedOn w:val="1"/>
    <w:link w:val="16"/>
    <w:qFormat/>
    <w:uiPriority w:val="99"/>
    <w:pPr>
      <w:tabs>
        <w:tab w:val="center" w:pos="4153"/>
        <w:tab w:val="right" w:pos="8306"/>
      </w:tabs>
      <w:snapToGrid w:val="0"/>
      <w:jc w:val="left"/>
    </w:pPr>
    <w:rPr>
      <w:sz w:val="18"/>
      <w:szCs w:val="18"/>
    </w:rPr>
  </w:style>
  <w:style w:type="paragraph" w:styleId="6">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8">
    <w:name w:val="annotation subject"/>
    <w:basedOn w:val="2"/>
    <w:next w:val="2"/>
    <w:link w:val="24"/>
    <w:semiHidden/>
    <w:unhideWhenUsed/>
    <w:uiPriority w:val="99"/>
    <w:rPr>
      <w:b/>
      <w:bCs/>
    </w:rPr>
  </w:style>
  <w:style w:type="table" w:styleId="10">
    <w:name w:val="Table Grid"/>
    <w:basedOn w:val="9"/>
    <w:qFormat/>
    <w:uiPriority w:val="9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2">
    <w:name w:val="Strong"/>
    <w:qFormat/>
    <w:uiPriority w:val="99"/>
    <w:rPr>
      <w:b/>
      <w:bCs/>
    </w:rPr>
  </w:style>
  <w:style w:type="character" w:styleId="13">
    <w:name w:val="Hyperlink"/>
    <w:semiHidden/>
    <w:qFormat/>
    <w:uiPriority w:val="99"/>
    <w:rPr>
      <w:color w:val="0000FF"/>
      <w:u w:val="single"/>
    </w:rPr>
  </w:style>
  <w:style w:type="character" w:styleId="14">
    <w:name w:val="annotation reference"/>
    <w:basedOn w:val="11"/>
    <w:semiHidden/>
    <w:unhideWhenUsed/>
    <w:uiPriority w:val="99"/>
    <w:rPr>
      <w:sz w:val="21"/>
      <w:szCs w:val="21"/>
    </w:rPr>
  </w:style>
  <w:style w:type="character" w:customStyle="1" w:styleId="15">
    <w:name w:val="页眉 Char"/>
    <w:link w:val="6"/>
    <w:qFormat/>
    <w:locked/>
    <w:uiPriority w:val="99"/>
    <w:rPr>
      <w:sz w:val="18"/>
      <w:szCs w:val="18"/>
    </w:rPr>
  </w:style>
  <w:style w:type="character" w:customStyle="1" w:styleId="16">
    <w:name w:val="页脚 Char"/>
    <w:link w:val="5"/>
    <w:qFormat/>
    <w:locked/>
    <w:uiPriority w:val="99"/>
    <w:rPr>
      <w:sz w:val="18"/>
      <w:szCs w:val="18"/>
    </w:rPr>
  </w:style>
  <w:style w:type="paragraph" w:styleId="17">
    <w:name w:val="List Paragraph"/>
    <w:basedOn w:val="1"/>
    <w:qFormat/>
    <w:uiPriority w:val="99"/>
    <w:pPr>
      <w:ind w:firstLine="420" w:firstLineChars="200"/>
    </w:pPr>
  </w:style>
  <w:style w:type="character" w:customStyle="1" w:styleId="18">
    <w:name w:val="批注框文本 Char"/>
    <w:link w:val="4"/>
    <w:semiHidden/>
    <w:qFormat/>
    <w:locked/>
    <w:uiPriority w:val="99"/>
    <w:rPr>
      <w:sz w:val="18"/>
      <w:szCs w:val="18"/>
    </w:rPr>
  </w:style>
  <w:style w:type="character" w:customStyle="1" w:styleId="19">
    <w:name w:val="日期 Char"/>
    <w:basedOn w:val="11"/>
    <w:link w:val="3"/>
    <w:semiHidden/>
    <w:qFormat/>
    <w:locked/>
    <w:uiPriority w:val="99"/>
  </w:style>
  <w:style w:type="paragraph" w:customStyle="1" w:styleId="20">
    <w:name w:val="p0"/>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1">
    <w:name w:val="Char"/>
    <w:basedOn w:val="1"/>
    <w:qFormat/>
    <w:uiPriority w:val="99"/>
    <w:pPr>
      <w:spacing w:before="100" w:beforeAutospacing="1" w:after="100" w:afterAutospacing="1"/>
    </w:pPr>
    <w:rPr>
      <w:rFonts w:ascii="Times New Roman" w:hAnsi="Times New Roman" w:cs="Times New Roman"/>
    </w:rPr>
  </w:style>
  <w:style w:type="table" w:customStyle="1" w:styleId="22">
    <w:name w:val="网格型2"/>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3">
    <w:name w:val="批注文字 Char"/>
    <w:basedOn w:val="11"/>
    <w:link w:val="2"/>
    <w:semiHidden/>
    <w:uiPriority w:val="99"/>
    <w:rPr>
      <w:rFonts w:cs="Calibri"/>
      <w:kern w:val="2"/>
      <w:sz w:val="21"/>
      <w:szCs w:val="21"/>
    </w:rPr>
  </w:style>
  <w:style w:type="character" w:customStyle="1" w:styleId="24">
    <w:name w:val="批注主题 Char"/>
    <w:basedOn w:val="23"/>
    <w:link w:val="8"/>
    <w:semiHidden/>
    <w:uiPriority w:val="99"/>
    <w:rPr>
      <w:rFonts w:cs="Calibri"/>
      <w:b/>
      <w:bCs/>
      <w:kern w:val="2"/>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19DC8E-320E-4990-962C-BA0D30C983A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24</Pages>
  <Words>1842</Words>
  <Characters>10502</Characters>
  <Lines>87</Lines>
  <Paragraphs>24</Paragraphs>
  <TotalTime>109</TotalTime>
  <ScaleCrop>false</ScaleCrop>
  <LinksUpToDate>false</LinksUpToDate>
  <CharactersWithSpaces>12320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2019-12-28T12:36:00Z</dcterms:created>
  <dc:creator>TOSHBIA</dc:creator>
  <cp:lastModifiedBy>Administrator</cp:lastModifiedBy>
  <cp:lastPrinted>2019-12-27T01:26:00Z</cp:lastPrinted>
  <dcterms:modified xsi:type="dcterms:W3CDTF">2019-12-31T02:16:51Z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